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7DE77">
      <w:pPr>
        <w:pStyle w:val="2"/>
        <w:rPr>
          <w:rFonts w:ascii="宋体" w:hAnsi="宋体" w:eastAsia="宋体"/>
        </w:rPr>
      </w:pPr>
      <w:r>
        <w:rPr>
          <w:rFonts w:hint="eastAsia" w:ascii="宋体" w:hAnsi="宋体" w:eastAsia="宋体"/>
        </w:rPr>
        <w:t>采购项目</w:t>
      </w:r>
    </w:p>
    <w:p w14:paraId="55A4E4F2">
      <w:pPr>
        <w:spacing w:line="360" w:lineRule="auto"/>
        <w:ind w:firstLine="480" w:firstLineChars="200"/>
        <w:rPr>
          <w:rFonts w:hint="default" w:ascii="宋体" w:hAnsi="宋体" w:eastAsia="宋体" w:cstheme="minorEastAsia"/>
          <w:color w:val="333333"/>
          <w:sz w:val="24"/>
          <w:shd w:val="clear" w:color="auto" w:fill="FFFFFF"/>
          <w:lang w:val="en-US" w:eastAsia="zh-CN"/>
        </w:rPr>
      </w:pPr>
      <w:r>
        <w:rPr>
          <w:rFonts w:hint="eastAsia" w:ascii="宋体" w:hAnsi="宋体" w:eastAsia="宋体" w:cstheme="minorEastAsia"/>
          <w:color w:val="333333"/>
          <w:sz w:val="24"/>
          <w:shd w:val="clear" w:color="auto" w:fill="FFFFFF"/>
        </w:rPr>
        <w:t>（一）项目名称：</w:t>
      </w:r>
      <w:r>
        <w:rPr>
          <w:rFonts w:hint="eastAsia" w:cstheme="minorEastAsia"/>
          <w:color w:val="333333"/>
          <w:sz w:val="24"/>
          <w:shd w:val="clear" w:color="auto" w:fill="FFFFFF"/>
          <w:lang w:val="en-US" w:eastAsia="zh-CN"/>
        </w:rPr>
        <w:t>医保智能审核系统</w:t>
      </w:r>
      <w:bookmarkStart w:id="1" w:name="_GoBack"/>
      <w:bookmarkEnd w:id="1"/>
    </w:p>
    <w:p w14:paraId="67F2F778">
      <w:pPr>
        <w:spacing w:line="360" w:lineRule="auto"/>
        <w:ind w:firstLine="480" w:firstLineChars="200"/>
        <w:rPr>
          <w:rFonts w:hint="eastAsia" w:ascii="宋体" w:hAnsi="宋体" w:eastAsia="宋体" w:cstheme="minorEastAsia"/>
          <w:color w:val="333333"/>
          <w:sz w:val="24"/>
          <w:shd w:val="clear" w:color="auto" w:fill="FFFFFF"/>
        </w:rPr>
      </w:pPr>
      <w:r>
        <w:rPr>
          <w:rFonts w:hint="eastAsia" w:ascii="宋体" w:hAnsi="宋体" w:eastAsia="宋体" w:cstheme="minorEastAsia"/>
          <w:color w:val="333333"/>
          <w:sz w:val="24"/>
          <w:shd w:val="clear" w:color="auto" w:fill="FFFFFF"/>
        </w:rPr>
        <w:t>（二）项目内容：</w:t>
      </w:r>
      <w:r>
        <w:rPr>
          <w:rFonts w:hint="eastAsia" w:ascii="宋体" w:hAnsi="宋体" w:eastAsia="宋体" w:cstheme="minorEastAsia"/>
          <w:color w:val="333333"/>
          <w:sz w:val="24"/>
          <w:shd w:val="clear" w:color="auto" w:fill="FFFFFF"/>
          <w:lang w:val="en-US" w:eastAsia="zh-CN"/>
        </w:rPr>
        <w:t>DIP精细化管理、智能审核</w:t>
      </w:r>
      <w:r>
        <w:rPr>
          <w:rFonts w:hint="eastAsia" w:ascii="宋体" w:hAnsi="宋体" w:eastAsia="宋体" w:cstheme="minorEastAsia"/>
          <w:color w:val="333333"/>
          <w:sz w:val="24"/>
          <w:shd w:val="clear" w:color="auto" w:fill="FFFFFF"/>
        </w:rPr>
        <w:t>。</w:t>
      </w:r>
    </w:p>
    <w:p w14:paraId="7C146D99">
      <w:pPr>
        <w:spacing w:line="360" w:lineRule="auto"/>
        <w:ind w:firstLine="480" w:firstLineChars="200"/>
        <w:rPr>
          <w:rFonts w:hint="eastAsia" w:cs="宋体"/>
          <w:szCs w:val="28"/>
        </w:rPr>
      </w:pPr>
      <w:r>
        <w:rPr>
          <w:rFonts w:hint="eastAsia" w:ascii="宋体" w:hAnsi="宋体" w:eastAsia="宋体" w:cstheme="minorEastAsia"/>
          <w:color w:val="333333"/>
          <w:sz w:val="24"/>
          <w:shd w:val="clear" w:color="auto" w:fill="FFFFFF"/>
        </w:rPr>
        <w:t>（三）项目实施地点:</w:t>
      </w:r>
      <w:r>
        <w:rPr>
          <w:rFonts w:hint="eastAsia" w:ascii="宋体" w:hAnsi="宋体" w:eastAsia="宋体" w:cstheme="minorEastAsia"/>
          <w:color w:val="333333"/>
          <w:sz w:val="24"/>
          <w:shd w:val="clear" w:color="auto" w:fill="FFFFFF"/>
          <w:lang w:val="en-US" w:eastAsia="zh-CN"/>
        </w:rPr>
        <w:t>赣州市中医院</w:t>
      </w:r>
    </w:p>
    <w:p w14:paraId="3DF7A98B">
      <w:pPr>
        <w:pStyle w:val="2"/>
        <w:rPr>
          <w:rFonts w:hint="eastAsia" w:cs="宋体"/>
          <w:szCs w:val="28"/>
        </w:rPr>
      </w:pPr>
      <w:r>
        <w:rPr>
          <w:rFonts w:hint="eastAsia" w:cs="宋体"/>
          <w:szCs w:val="28"/>
        </w:rPr>
        <w:t>供应商的资格要求</w:t>
      </w:r>
    </w:p>
    <w:p w14:paraId="5B798B3C">
      <w:pPr>
        <w:spacing w:line="360" w:lineRule="auto"/>
        <w:ind w:firstLine="480" w:firstLineChars="200"/>
        <w:rPr>
          <w:rFonts w:hint="eastAsia" w:ascii="宋体" w:hAnsi="宋体" w:eastAsia="宋体" w:cstheme="minorEastAsia"/>
          <w:color w:val="333333"/>
          <w:kern w:val="0"/>
          <w:sz w:val="24"/>
          <w:shd w:val="clear" w:color="auto" w:fill="FFFFFF"/>
        </w:rPr>
      </w:pPr>
      <w:r>
        <w:rPr>
          <w:rFonts w:hint="eastAsia" w:ascii="宋体" w:hAnsi="宋体" w:eastAsia="宋体" w:cstheme="minorEastAsia"/>
          <w:color w:val="333333"/>
          <w:sz w:val="24"/>
          <w:shd w:val="clear" w:color="auto" w:fill="FFFFFF"/>
        </w:rPr>
        <w:t>（</w:t>
      </w:r>
      <w:r>
        <w:rPr>
          <w:rFonts w:hint="eastAsia" w:ascii="宋体" w:hAnsi="宋体" w:eastAsia="宋体" w:cstheme="minorEastAsia"/>
          <w:color w:val="333333"/>
          <w:kern w:val="0"/>
          <w:sz w:val="24"/>
          <w:shd w:val="clear" w:color="auto" w:fill="FFFFFF"/>
        </w:rPr>
        <w:t>一）参加政府采购活动前三年内，在经营活动中没有重大违法记录:</w:t>
      </w:r>
    </w:p>
    <w:p w14:paraId="5BAC6339">
      <w:pPr>
        <w:spacing w:line="360" w:lineRule="auto"/>
        <w:ind w:firstLine="480" w:firstLineChars="200"/>
        <w:rPr>
          <w:rFonts w:hint="eastAsia" w:ascii="宋体" w:hAnsi="宋体" w:eastAsia="宋体" w:cstheme="minorEastAsia"/>
          <w:color w:val="333333"/>
          <w:kern w:val="0"/>
          <w:sz w:val="24"/>
          <w:shd w:val="clear" w:color="auto" w:fill="FFFFFF"/>
        </w:rPr>
      </w:pPr>
      <w:r>
        <w:rPr>
          <w:rFonts w:hint="eastAsia" w:ascii="宋体" w:hAnsi="宋体" w:eastAsia="宋体" w:cstheme="minorEastAsia"/>
          <w:color w:val="333333"/>
          <w:kern w:val="0"/>
          <w:sz w:val="24"/>
          <w:shd w:val="clear" w:color="auto" w:fill="FFFFFF"/>
        </w:rPr>
        <w:t xml:space="preserve">1.企业信用报告(信用中国公示系统) 不存在违法失信行为； </w:t>
      </w:r>
    </w:p>
    <w:p w14:paraId="1EAEA3C4">
      <w:pPr>
        <w:spacing w:line="360" w:lineRule="auto"/>
        <w:ind w:firstLine="480" w:firstLineChars="200"/>
        <w:rPr>
          <w:rFonts w:ascii="宋体" w:hAnsi="宋体" w:eastAsia="宋体" w:cstheme="minorEastAsia"/>
          <w:color w:val="333333"/>
          <w:kern w:val="0"/>
          <w:sz w:val="24"/>
          <w:shd w:val="clear" w:color="auto" w:fill="FFFFFF"/>
        </w:rPr>
      </w:pPr>
      <w:r>
        <w:rPr>
          <w:rFonts w:hint="eastAsia" w:ascii="宋体" w:hAnsi="宋体" w:eastAsia="宋体" w:cstheme="minorEastAsia"/>
          <w:color w:val="333333"/>
          <w:kern w:val="0"/>
          <w:sz w:val="24"/>
          <w:shd w:val="clear" w:color="auto" w:fill="FFFFFF"/>
        </w:rPr>
        <w:t>2.供应商近三个月社保缴纳证明、企业近期税收完税证明等资料复印件；</w:t>
      </w:r>
    </w:p>
    <w:p w14:paraId="7106F531">
      <w:pPr>
        <w:spacing w:line="360" w:lineRule="auto"/>
        <w:ind w:firstLine="480" w:firstLineChars="200"/>
        <w:rPr>
          <w:rFonts w:ascii="宋体" w:hAnsi="宋体" w:eastAsia="宋体" w:cstheme="minorEastAsia"/>
          <w:color w:val="333333"/>
          <w:kern w:val="0"/>
          <w:sz w:val="24"/>
          <w:shd w:val="clear" w:color="auto" w:fill="FFFFFF"/>
        </w:rPr>
      </w:pPr>
      <w:r>
        <w:rPr>
          <w:rFonts w:hint="eastAsia" w:ascii="宋体" w:hAnsi="宋体" w:eastAsia="宋体" w:cstheme="minorEastAsia"/>
          <w:color w:val="333333"/>
          <w:kern w:val="0"/>
          <w:sz w:val="24"/>
          <w:shd w:val="clear" w:color="auto" w:fill="FFFFFF"/>
        </w:rPr>
        <w:t>3.具有良好的商业信誉和健全的财务会计制度，或银行出具的资信证明；</w:t>
      </w:r>
    </w:p>
    <w:p w14:paraId="3572A27E">
      <w:pPr>
        <w:spacing w:line="360" w:lineRule="auto"/>
        <w:ind w:firstLine="480" w:firstLineChars="200"/>
        <w:rPr>
          <w:rFonts w:hint="eastAsia" w:ascii="宋体" w:hAnsi="宋体" w:eastAsia="宋体" w:cstheme="minorEastAsia"/>
          <w:color w:val="333333"/>
          <w:kern w:val="0"/>
          <w:sz w:val="24"/>
          <w:shd w:val="clear" w:color="auto" w:fill="FFFFFF"/>
        </w:rPr>
      </w:pPr>
      <w:r>
        <w:rPr>
          <w:rFonts w:hint="eastAsia" w:ascii="宋体" w:hAnsi="宋体" w:eastAsia="宋体" w:cstheme="minorEastAsia"/>
          <w:color w:val="333333"/>
          <w:kern w:val="0"/>
          <w:sz w:val="24"/>
          <w:shd w:val="clear" w:color="auto" w:fill="FFFFFF"/>
        </w:rPr>
        <w:t>4.提供企业营业执照复印件和企业法人负责人的身份证复印件。</w:t>
      </w:r>
    </w:p>
    <w:p w14:paraId="6642A9ED">
      <w:pPr>
        <w:spacing w:line="360" w:lineRule="auto"/>
        <w:ind w:firstLine="480" w:firstLineChars="200"/>
        <w:rPr>
          <w:rFonts w:hint="eastAsia" w:ascii="宋体" w:hAnsi="宋体" w:eastAsia="宋体" w:cstheme="minorEastAsia"/>
          <w:color w:val="333333"/>
        </w:rPr>
      </w:pPr>
      <w:r>
        <w:rPr>
          <w:rFonts w:hint="eastAsia" w:ascii="宋体" w:hAnsi="宋体" w:eastAsia="宋体" w:cstheme="minorEastAsia"/>
          <w:color w:val="333333"/>
          <w:sz w:val="24"/>
          <w:shd w:val="clear" w:color="auto" w:fill="FFFFFF"/>
        </w:rPr>
        <w:t>（</w:t>
      </w:r>
      <w:r>
        <w:rPr>
          <w:rFonts w:hint="eastAsia" w:ascii="宋体" w:hAnsi="宋体" w:eastAsia="宋体" w:cstheme="minorEastAsia"/>
          <w:color w:val="333333"/>
          <w:kern w:val="0"/>
          <w:sz w:val="24"/>
          <w:shd w:val="clear" w:color="auto" w:fill="FFFFFF"/>
        </w:rPr>
        <w:t>二）</w:t>
      </w:r>
      <w:r>
        <w:rPr>
          <w:rFonts w:hint="eastAsia" w:ascii="宋体" w:hAnsi="宋体" w:eastAsia="宋体" w:cstheme="minorEastAsia"/>
          <w:color w:val="333333"/>
          <w:sz w:val="24"/>
          <w:shd w:val="clear" w:color="auto" w:fill="FFFFFF"/>
        </w:rPr>
        <w:t>未被“信用中国”（www.creditchina.gov.cn）、中国政府采购网（www.ccgp.gov.cn）列入失信被执行人、重大税收违法案件当事人名单、政府采购严重违法失信行为记录名单；</w:t>
      </w:r>
    </w:p>
    <w:p w14:paraId="5DE3F9D8">
      <w:pPr>
        <w:spacing w:line="360" w:lineRule="auto"/>
        <w:ind w:firstLine="480" w:firstLineChars="200"/>
        <w:rPr>
          <w:rFonts w:hint="eastAsia" w:ascii="宋体" w:hAnsi="宋体" w:eastAsia="宋体" w:cstheme="minorEastAsia"/>
          <w:color w:val="333333"/>
          <w:shd w:val="clear" w:color="auto" w:fill="FFFFFF"/>
        </w:rPr>
      </w:pPr>
      <w:r>
        <w:rPr>
          <w:rFonts w:hint="eastAsia" w:ascii="宋体" w:hAnsi="宋体" w:eastAsia="宋体" w:cstheme="minorEastAsia"/>
          <w:color w:val="333333"/>
          <w:sz w:val="24"/>
          <w:shd w:val="clear" w:color="auto" w:fill="FFFFFF"/>
        </w:rPr>
        <w:t>（三）本次项目不接受联合体响应。</w:t>
      </w:r>
    </w:p>
    <w:p w14:paraId="1F57E731">
      <w:pPr>
        <w:spacing w:line="360" w:lineRule="auto"/>
        <w:ind w:firstLine="480" w:firstLineChars="200"/>
        <w:rPr>
          <w:rFonts w:hint="eastAsia" w:ascii="宋体" w:hAnsi="宋体" w:eastAsia="宋体" w:cstheme="minorEastAsia"/>
          <w:sz w:val="24"/>
        </w:rPr>
      </w:pPr>
      <w:r>
        <w:rPr>
          <w:rFonts w:hint="eastAsia" w:ascii="宋体" w:hAnsi="宋体" w:eastAsia="宋体" w:cstheme="minorEastAsia"/>
          <w:sz w:val="24"/>
        </w:rPr>
        <w:t>（四）供应商能独立承担民事责任并承诺在软件维保期内不进行转包。</w:t>
      </w:r>
    </w:p>
    <w:p w14:paraId="21E3E584">
      <w:pPr>
        <w:pStyle w:val="2"/>
        <w:rPr>
          <w:rFonts w:hint="eastAsia" w:cs="宋体"/>
          <w:szCs w:val="28"/>
        </w:rPr>
      </w:pPr>
      <w:r>
        <w:rPr>
          <w:rFonts w:hint="eastAsia" w:cs="宋体"/>
          <w:szCs w:val="28"/>
        </w:rPr>
        <w:t>采购要求</w:t>
      </w:r>
    </w:p>
    <w:p w14:paraId="2335AEEB">
      <w:pPr>
        <w:pStyle w:val="3"/>
        <w:rPr>
          <w:rFonts w:hint="eastAsia"/>
        </w:rPr>
      </w:pPr>
      <w:r>
        <w:rPr>
          <w:rFonts w:hint="eastAsia"/>
        </w:rPr>
        <w:t>技术和服务要求</w:t>
      </w:r>
    </w:p>
    <w:p w14:paraId="70E4A537">
      <w:pPr>
        <w:pStyle w:val="4"/>
        <w:rPr>
          <w:rFonts w:hint="eastAsia"/>
        </w:rPr>
      </w:pPr>
      <w:r>
        <w:t>项目基本情况</w:t>
      </w:r>
    </w:p>
    <w:p w14:paraId="53585519">
      <w:pPr>
        <w:numPr>
          <w:ilvl w:val="0"/>
          <w:numId w:val="3"/>
        </w:numPr>
        <w:ind w:firstLine="480"/>
        <w:rPr>
          <w:rFonts w:hint="eastAsia"/>
        </w:rPr>
      </w:pPr>
      <w:r>
        <w:t>项目内容：为配合我市医保付费改革工作部署，满足市医保局对医疗机构上传医保结算数据的要求，提升医院运营管理水平，我院拟通过购买第三方服务的方式，委托专业的第三方服务机构为我院提供医院DIP</w:t>
      </w:r>
      <w:r>
        <w:rPr>
          <w:rFonts w:hint="eastAsia"/>
        </w:rPr>
        <w:t>数据分析和智能审核服务</w:t>
      </w:r>
      <w:r>
        <w:t>。第三方服务机构须提供一套专业的服务工具，运用智能化辅助手段辅助病案编码员完成医保结算清单填报管理工作，协助我院在DIP付费下有序推进院内病案质控、医保管理和精细化运营管理工作的开展。</w:t>
      </w:r>
    </w:p>
    <w:p w14:paraId="7B6E0466">
      <w:pPr>
        <w:numPr>
          <w:ilvl w:val="0"/>
          <w:numId w:val="3"/>
        </w:numPr>
        <w:ind w:firstLine="480"/>
        <w:rPr>
          <w:rFonts w:hint="eastAsia"/>
        </w:rPr>
      </w:pPr>
      <w:r>
        <w:t>实施周期：</w:t>
      </w:r>
      <w:r>
        <w:rPr>
          <w:color w:val="auto"/>
        </w:rPr>
        <w:t>在院内第三方厂商完成接口改造后进场实施，</w:t>
      </w:r>
      <w:r>
        <w:t>60个日历日内完成服务工具的开发、安装调试、培训及上线。</w:t>
      </w:r>
    </w:p>
    <w:p w14:paraId="04ED9FD3">
      <w:pPr>
        <w:pStyle w:val="4"/>
        <w:rPr>
          <w:rFonts w:hint="eastAsia"/>
        </w:rPr>
      </w:pPr>
      <w:r>
        <w:t>DIP</w:t>
      </w:r>
      <w:r>
        <w:rPr>
          <w:rFonts w:hint="eastAsia"/>
        </w:rPr>
        <w:t>精细化管理服务</w:t>
      </w:r>
      <w:r>
        <w:t>要求</w:t>
      </w:r>
    </w:p>
    <w:p w14:paraId="1FFF45BA">
      <w:pPr>
        <w:ind w:left="-15" w:firstLine="480"/>
        <w:rPr>
          <w:rFonts w:hint="eastAsia"/>
        </w:rPr>
      </w:pPr>
      <w:r>
        <w:t>具体功能要求如下：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22"/>
        <w:gridCol w:w="1200"/>
        <w:gridCol w:w="1080"/>
        <w:gridCol w:w="4284"/>
      </w:tblGrid>
      <w:tr w14:paraId="1B60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0DD7464A">
            <w:pPr>
              <w:widowControl/>
              <w:spacing w:line="240" w:lineRule="auto"/>
              <w:ind w:firstLine="0" w:firstLineChars="0"/>
              <w:jc w:val="center"/>
              <w:textAlignment w:val="center"/>
              <w:rPr>
                <w:rFonts w:hint="eastAsia"/>
                <w:sz w:val="21"/>
                <w:szCs w:val="21"/>
              </w:rPr>
            </w:pPr>
            <w:r>
              <w:rPr>
                <w:rFonts w:hint="eastAsia"/>
                <w:sz w:val="21"/>
                <w:szCs w:val="21"/>
                <w:lang w:bidi="ar"/>
              </w:rPr>
              <w:t>序号</w:t>
            </w:r>
          </w:p>
        </w:tc>
        <w:tc>
          <w:tcPr>
            <w:tcW w:w="1322" w:type="dxa"/>
            <w:shd w:val="clear" w:color="auto" w:fill="auto"/>
            <w:vAlign w:val="center"/>
          </w:tcPr>
          <w:p w14:paraId="5908FA7D">
            <w:pPr>
              <w:widowControl/>
              <w:spacing w:line="240" w:lineRule="auto"/>
              <w:ind w:firstLine="0" w:firstLineChars="0"/>
              <w:jc w:val="center"/>
              <w:textAlignment w:val="center"/>
              <w:rPr>
                <w:rFonts w:hint="eastAsia"/>
                <w:sz w:val="21"/>
                <w:szCs w:val="21"/>
              </w:rPr>
            </w:pPr>
            <w:r>
              <w:rPr>
                <w:rFonts w:hint="eastAsia"/>
                <w:sz w:val="21"/>
                <w:szCs w:val="21"/>
                <w:lang w:bidi="ar"/>
              </w:rPr>
              <w:t>子系统名称</w:t>
            </w:r>
          </w:p>
        </w:tc>
        <w:tc>
          <w:tcPr>
            <w:tcW w:w="1200" w:type="dxa"/>
            <w:shd w:val="clear" w:color="auto" w:fill="auto"/>
            <w:noWrap/>
            <w:vAlign w:val="center"/>
          </w:tcPr>
          <w:p w14:paraId="01438A30">
            <w:pPr>
              <w:widowControl/>
              <w:spacing w:line="240" w:lineRule="auto"/>
              <w:ind w:firstLine="0" w:firstLineChars="0"/>
              <w:jc w:val="center"/>
              <w:textAlignment w:val="center"/>
              <w:rPr>
                <w:rFonts w:hint="eastAsia"/>
                <w:sz w:val="21"/>
                <w:szCs w:val="21"/>
              </w:rPr>
            </w:pPr>
            <w:r>
              <w:rPr>
                <w:rFonts w:hint="eastAsia"/>
                <w:sz w:val="21"/>
                <w:szCs w:val="21"/>
                <w:lang w:bidi="ar"/>
              </w:rPr>
              <w:t>功能模块</w:t>
            </w:r>
          </w:p>
        </w:tc>
        <w:tc>
          <w:tcPr>
            <w:tcW w:w="1080" w:type="dxa"/>
            <w:shd w:val="clear" w:color="auto" w:fill="auto"/>
            <w:noWrap/>
            <w:vAlign w:val="center"/>
          </w:tcPr>
          <w:p w14:paraId="5EB9FC1E">
            <w:pPr>
              <w:widowControl/>
              <w:spacing w:line="240" w:lineRule="auto"/>
              <w:ind w:firstLine="0" w:firstLineChars="0"/>
              <w:jc w:val="center"/>
              <w:textAlignment w:val="center"/>
              <w:rPr>
                <w:rFonts w:hint="eastAsia"/>
                <w:sz w:val="21"/>
                <w:szCs w:val="21"/>
              </w:rPr>
            </w:pPr>
            <w:r>
              <w:rPr>
                <w:rFonts w:hint="eastAsia"/>
                <w:sz w:val="21"/>
                <w:szCs w:val="21"/>
                <w:lang w:bidi="ar"/>
              </w:rPr>
              <w:t>功能清单</w:t>
            </w:r>
          </w:p>
        </w:tc>
        <w:tc>
          <w:tcPr>
            <w:tcW w:w="4284" w:type="dxa"/>
            <w:shd w:val="clear" w:color="auto" w:fill="auto"/>
            <w:vAlign w:val="center"/>
          </w:tcPr>
          <w:p w14:paraId="545E6DC4">
            <w:pPr>
              <w:widowControl/>
              <w:spacing w:line="240" w:lineRule="auto"/>
              <w:ind w:firstLine="0" w:firstLineChars="0"/>
              <w:jc w:val="center"/>
              <w:textAlignment w:val="center"/>
              <w:rPr>
                <w:rFonts w:hint="eastAsia"/>
                <w:sz w:val="21"/>
                <w:szCs w:val="21"/>
              </w:rPr>
            </w:pPr>
            <w:r>
              <w:rPr>
                <w:rFonts w:hint="eastAsia"/>
                <w:sz w:val="21"/>
                <w:szCs w:val="21"/>
                <w:lang w:bidi="ar"/>
              </w:rPr>
              <w:t>功能要求说明</w:t>
            </w:r>
          </w:p>
        </w:tc>
      </w:tr>
      <w:tr w14:paraId="46F9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2AA1996C">
            <w:pPr>
              <w:widowControl/>
              <w:spacing w:line="240" w:lineRule="auto"/>
              <w:ind w:firstLine="0" w:firstLineChars="0"/>
              <w:jc w:val="center"/>
              <w:textAlignment w:val="center"/>
              <w:rPr>
                <w:rFonts w:hint="eastAsia"/>
                <w:sz w:val="21"/>
                <w:szCs w:val="21"/>
              </w:rPr>
            </w:pPr>
            <w:r>
              <w:rPr>
                <w:rFonts w:hint="eastAsia"/>
                <w:sz w:val="21"/>
                <w:szCs w:val="21"/>
                <w:lang w:bidi="ar"/>
              </w:rPr>
              <w:t>1</w:t>
            </w:r>
          </w:p>
        </w:tc>
        <w:tc>
          <w:tcPr>
            <w:tcW w:w="1322" w:type="dxa"/>
            <w:vMerge w:val="restart"/>
            <w:shd w:val="clear" w:color="auto" w:fill="auto"/>
            <w:vAlign w:val="center"/>
          </w:tcPr>
          <w:p w14:paraId="295CCFB5">
            <w:pPr>
              <w:widowControl/>
              <w:spacing w:line="240" w:lineRule="auto"/>
              <w:ind w:firstLine="0" w:firstLineChars="0"/>
              <w:jc w:val="center"/>
              <w:textAlignment w:val="center"/>
              <w:rPr>
                <w:rFonts w:hint="eastAsia"/>
                <w:sz w:val="21"/>
                <w:szCs w:val="21"/>
              </w:rPr>
            </w:pPr>
            <w:r>
              <w:rPr>
                <w:rFonts w:hint="eastAsia"/>
                <w:sz w:val="21"/>
                <w:szCs w:val="21"/>
                <w:lang w:bidi="ar"/>
              </w:rPr>
              <w:t>DIP精细化管理平台</w:t>
            </w:r>
          </w:p>
        </w:tc>
        <w:tc>
          <w:tcPr>
            <w:tcW w:w="1200" w:type="dxa"/>
            <w:shd w:val="clear" w:color="auto" w:fill="auto"/>
            <w:noWrap/>
            <w:vAlign w:val="center"/>
          </w:tcPr>
          <w:p w14:paraId="64E76520">
            <w:pPr>
              <w:widowControl/>
              <w:spacing w:line="240" w:lineRule="auto"/>
              <w:ind w:firstLine="0" w:firstLineChars="0"/>
              <w:jc w:val="center"/>
              <w:textAlignment w:val="center"/>
              <w:rPr>
                <w:rFonts w:hint="eastAsia"/>
                <w:sz w:val="21"/>
                <w:szCs w:val="21"/>
              </w:rPr>
            </w:pPr>
            <w:r>
              <w:rPr>
                <w:rFonts w:hint="eastAsia"/>
                <w:sz w:val="21"/>
                <w:szCs w:val="21"/>
                <w:lang w:bidi="ar"/>
              </w:rPr>
              <w:t>DIP首页</w:t>
            </w:r>
          </w:p>
        </w:tc>
        <w:tc>
          <w:tcPr>
            <w:tcW w:w="1080" w:type="dxa"/>
            <w:shd w:val="clear" w:color="auto" w:fill="auto"/>
            <w:noWrap/>
            <w:vAlign w:val="center"/>
          </w:tcPr>
          <w:p w14:paraId="0C5ACEA6">
            <w:pPr>
              <w:widowControl/>
              <w:spacing w:line="240" w:lineRule="auto"/>
              <w:ind w:firstLine="0" w:firstLineChars="0"/>
              <w:jc w:val="center"/>
              <w:textAlignment w:val="center"/>
              <w:rPr>
                <w:rFonts w:hint="eastAsia"/>
                <w:sz w:val="21"/>
                <w:szCs w:val="21"/>
              </w:rPr>
            </w:pPr>
            <w:r>
              <w:rPr>
                <w:rFonts w:hint="eastAsia"/>
                <w:sz w:val="21"/>
                <w:szCs w:val="21"/>
                <w:lang w:bidi="ar"/>
              </w:rPr>
              <w:t>首页</w:t>
            </w:r>
          </w:p>
        </w:tc>
        <w:tc>
          <w:tcPr>
            <w:tcW w:w="4284" w:type="dxa"/>
            <w:shd w:val="clear" w:color="auto" w:fill="auto"/>
            <w:vAlign w:val="center"/>
          </w:tcPr>
          <w:p w14:paraId="310E0922">
            <w:pPr>
              <w:widowControl/>
              <w:spacing w:line="240" w:lineRule="auto"/>
              <w:ind w:firstLine="0" w:firstLineChars="0"/>
              <w:textAlignment w:val="center"/>
              <w:rPr>
                <w:rFonts w:hint="eastAsia"/>
                <w:sz w:val="21"/>
                <w:szCs w:val="21"/>
              </w:rPr>
            </w:pPr>
            <w:r>
              <w:rPr>
                <w:rFonts w:hint="eastAsia"/>
                <w:sz w:val="21"/>
                <w:szCs w:val="21"/>
                <w:lang w:bidi="ar"/>
              </w:rPr>
              <w:t>系统首页支持按指定时间范围、数据来源进行检索DIP质控情况、DIP分组情况及DIP结算情况。</w:t>
            </w:r>
          </w:p>
        </w:tc>
      </w:tr>
      <w:tr w14:paraId="0742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05694E27">
            <w:pPr>
              <w:widowControl/>
              <w:spacing w:line="240" w:lineRule="auto"/>
              <w:ind w:firstLine="0" w:firstLineChars="0"/>
              <w:jc w:val="center"/>
              <w:textAlignment w:val="center"/>
              <w:rPr>
                <w:rFonts w:hint="eastAsia"/>
                <w:sz w:val="21"/>
                <w:szCs w:val="21"/>
              </w:rPr>
            </w:pPr>
            <w:r>
              <w:rPr>
                <w:rFonts w:hint="eastAsia"/>
                <w:sz w:val="21"/>
                <w:szCs w:val="21"/>
                <w:lang w:bidi="ar"/>
              </w:rPr>
              <w:t>2</w:t>
            </w:r>
          </w:p>
        </w:tc>
        <w:tc>
          <w:tcPr>
            <w:tcW w:w="1322" w:type="dxa"/>
            <w:vMerge w:val="continue"/>
            <w:shd w:val="clear" w:color="auto" w:fill="auto"/>
            <w:vAlign w:val="center"/>
          </w:tcPr>
          <w:p w14:paraId="1ACD282B">
            <w:pPr>
              <w:widowControl/>
              <w:spacing w:line="240" w:lineRule="auto"/>
              <w:ind w:firstLine="0" w:firstLineChars="0"/>
              <w:jc w:val="center"/>
              <w:rPr>
                <w:rFonts w:hint="eastAsia"/>
                <w:sz w:val="21"/>
                <w:szCs w:val="21"/>
              </w:rPr>
            </w:pPr>
          </w:p>
        </w:tc>
        <w:tc>
          <w:tcPr>
            <w:tcW w:w="1200" w:type="dxa"/>
            <w:shd w:val="clear" w:color="auto" w:fill="auto"/>
            <w:noWrap/>
            <w:vAlign w:val="center"/>
          </w:tcPr>
          <w:p w14:paraId="6B74C43F">
            <w:pPr>
              <w:widowControl/>
              <w:spacing w:line="240" w:lineRule="auto"/>
              <w:ind w:firstLine="0" w:firstLineChars="0"/>
              <w:jc w:val="center"/>
              <w:textAlignment w:val="center"/>
              <w:rPr>
                <w:rFonts w:hint="eastAsia"/>
                <w:sz w:val="21"/>
                <w:szCs w:val="21"/>
              </w:rPr>
            </w:pPr>
            <w:r>
              <w:rPr>
                <w:rFonts w:hint="eastAsia"/>
                <w:sz w:val="21"/>
                <w:szCs w:val="21"/>
                <w:lang w:bidi="ar"/>
              </w:rPr>
              <w:t>医生助手</w:t>
            </w:r>
          </w:p>
        </w:tc>
        <w:tc>
          <w:tcPr>
            <w:tcW w:w="1080" w:type="dxa"/>
            <w:shd w:val="clear" w:color="auto" w:fill="auto"/>
            <w:noWrap/>
            <w:vAlign w:val="center"/>
          </w:tcPr>
          <w:p w14:paraId="3E59D39C">
            <w:pPr>
              <w:widowControl/>
              <w:spacing w:line="240" w:lineRule="auto"/>
              <w:ind w:firstLine="0" w:firstLineChars="0"/>
              <w:jc w:val="center"/>
              <w:textAlignment w:val="center"/>
              <w:rPr>
                <w:rFonts w:hint="eastAsia"/>
                <w:sz w:val="21"/>
                <w:szCs w:val="21"/>
              </w:rPr>
            </w:pPr>
            <w:r>
              <w:rPr>
                <w:rFonts w:hint="eastAsia"/>
                <w:sz w:val="21"/>
                <w:szCs w:val="21"/>
                <w:lang w:bidi="ar"/>
              </w:rPr>
              <w:t>医生助手</w:t>
            </w:r>
          </w:p>
        </w:tc>
        <w:tc>
          <w:tcPr>
            <w:tcW w:w="4284" w:type="dxa"/>
            <w:shd w:val="clear" w:color="auto" w:fill="auto"/>
            <w:vAlign w:val="center"/>
          </w:tcPr>
          <w:p w14:paraId="5AE855EA">
            <w:pPr>
              <w:widowControl/>
              <w:spacing w:line="240" w:lineRule="auto"/>
              <w:ind w:firstLine="0" w:firstLineChars="0"/>
              <w:textAlignment w:val="center"/>
              <w:rPr>
                <w:rFonts w:hint="eastAsia"/>
                <w:sz w:val="21"/>
                <w:szCs w:val="21"/>
              </w:rPr>
            </w:pPr>
            <w:r>
              <w:rPr>
                <w:rFonts w:hint="eastAsia"/>
                <w:sz w:val="21"/>
                <w:szCs w:val="21"/>
                <w:lang w:bidi="ar"/>
              </w:rPr>
              <w:t>提供HIS嵌入页面，让医生填写病案首页和结算清单时可随时调用该功能进行质控，分组和预结算。</w:t>
            </w:r>
          </w:p>
        </w:tc>
      </w:tr>
      <w:tr w14:paraId="5979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6" w:type="dxa"/>
            <w:shd w:val="clear" w:color="auto" w:fill="auto"/>
            <w:noWrap/>
            <w:vAlign w:val="center"/>
          </w:tcPr>
          <w:p w14:paraId="6E69A9A3">
            <w:pPr>
              <w:widowControl/>
              <w:spacing w:line="240" w:lineRule="auto"/>
              <w:ind w:firstLine="0" w:firstLineChars="0"/>
              <w:jc w:val="center"/>
              <w:textAlignment w:val="center"/>
              <w:rPr>
                <w:rFonts w:hint="eastAsia"/>
                <w:sz w:val="21"/>
                <w:szCs w:val="21"/>
              </w:rPr>
            </w:pPr>
            <w:r>
              <w:rPr>
                <w:rFonts w:hint="eastAsia"/>
                <w:sz w:val="21"/>
                <w:szCs w:val="21"/>
                <w:lang w:bidi="ar"/>
              </w:rPr>
              <w:t>3</w:t>
            </w:r>
          </w:p>
        </w:tc>
        <w:tc>
          <w:tcPr>
            <w:tcW w:w="1322" w:type="dxa"/>
            <w:vMerge w:val="continue"/>
            <w:shd w:val="clear" w:color="auto" w:fill="auto"/>
            <w:vAlign w:val="center"/>
          </w:tcPr>
          <w:p w14:paraId="2B1DB254">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10917F60">
            <w:pPr>
              <w:widowControl/>
              <w:spacing w:line="240" w:lineRule="auto"/>
              <w:ind w:firstLine="0" w:firstLineChars="0"/>
              <w:jc w:val="center"/>
              <w:textAlignment w:val="center"/>
              <w:rPr>
                <w:rFonts w:hint="eastAsia"/>
                <w:sz w:val="21"/>
                <w:szCs w:val="21"/>
              </w:rPr>
            </w:pPr>
            <w:r>
              <w:rPr>
                <w:rFonts w:hint="eastAsia"/>
                <w:sz w:val="21"/>
                <w:szCs w:val="21"/>
                <w:lang w:bidi="ar"/>
              </w:rPr>
              <w:t>病案首页质控</w:t>
            </w:r>
          </w:p>
        </w:tc>
        <w:tc>
          <w:tcPr>
            <w:tcW w:w="1080" w:type="dxa"/>
            <w:shd w:val="clear" w:color="auto" w:fill="auto"/>
            <w:noWrap/>
            <w:vAlign w:val="center"/>
          </w:tcPr>
          <w:p w14:paraId="085D8BD3">
            <w:pPr>
              <w:widowControl/>
              <w:spacing w:line="240" w:lineRule="auto"/>
              <w:ind w:firstLine="0" w:firstLineChars="0"/>
              <w:jc w:val="center"/>
              <w:textAlignment w:val="center"/>
              <w:rPr>
                <w:rFonts w:hint="eastAsia"/>
                <w:sz w:val="21"/>
                <w:szCs w:val="21"/>
              </w:rPr>
            </w:pPr>
            <w:r>
              <w:rPr>
                <w:rFonts w:hint="eastAsia"/>
                <w:sz w:val="21"/>
                <w:szCs w:val="21"/>
                <w:lang w:bidi="ar"/>
              </w:rPr>
              <w:t>病案首页质控</w:t>
            </w:r>
          </w:p>
        </w:tc>
        <w:tc>
          <w:tcPr>
            <w:tcW w:w="4284" w:type="dxa"/>
            <w:shd w:val="clear" w:color="auto" w:fill="auto"/>
            <w:vAlign w:val="center"/>
          </w:tcPr>
          <w:p w14:paraId="05FDC04D">
            <w:pPr>
              <w:widowControl/>
              <w:spacing w:line="240" w:lineRule="auto"/>
              <w:ind w:firstLine="0" w:firstLineChars="0"/>
              <w:textAlignment w:val="center"/>
              <w:rPr>
                <w:rFonts w:hint="eastAsia"/>
                <w:sz w:val="21"/>
                <w:szCs w:val="21"/>
              </w:rPr>
            </w:pPr>
            <w:r>
              <w:rPr>
                <w:rFonts w:hint="eastAsia"/>
                <w:sz w:val="21"/>
                <w:szCs w:val="21"/>
                <w:lang w:bidi="ar"/>
              </w:rPr>
              <w:t>该页面可查看全院病案首页及病案首页质控详情，可通过出院科别、主治医师、住院总费用、医疗付费方式、主要手术编码、出院主要诊断编码等检索条件进行单项或多项综合查询，查询后的结果，在表格中进行显示。</w:t>
            </w:r>
          </w:p>
        </w:tc>
      </w:tr>
      <w:tr w14:paraId="3601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3D7A73E0">
            <w:pPr>
              <w:widowControl/>
              <w:spacing w:line="240" w:lineRule="auto"/>
              <w:ind w:firstLine="0" w:firstLineChars="0"/>
              <w:jc w:val="center"/>
              <w:textAlignment w:val="center"/>
              <w:rPr>
                <w:rFonts w:hint="eastAsia"/>
                <w:sz w:val="21"/>
                <w:szCs w:val="21"/>
              </w:rPr>
            </w:pPr>
            <w:r>
              <w:rPr>
                <w:rFonts w:hint="eastAsia"/>
                <w:sz w:val="21"/>
                <w:szCs w:val="21"/>
                <w:lang w:bidi="ar"/>
              </w:rPr>
              <w:t>4</w:t>
            </w:r>
          </w:p>
        </w:tc>
        <w:tc>
          <w:tcPr>
            <w:tcW w:w="1322" w:type="dxa"/>
            <w:vMerge w:val="continue"/>
            <w:shd w:val="clear" w:color="auto" w:fill="auto"/>
            <w:vAlign w:val="center"/>
          </w:tcPr>
          <w:p w14:paraId="3F0C1757">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4B404AF1">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20056EE4">
            <w:pPr>
              <w:widowControl/>
              <w:spacing w:line="240" w:lineRule="auto"/>
              <w:ind w:firstLine="0" w:firstLineChars="0"/>
              <w:jc w:val="center"/>
              <w:textAlignment w:val="center"/>
              <w:rPr>
                <w:rFonts w:hint="eastAsia"/>
                <w:sz w:val="21"/>
                <w:szCs w:val="21"/>
              </w:rPr>
            </w:pPr>
            <w:r>
              <w:rPr>
                <w:rFonts w:hint="eastAsia"/>
                <w:sz w:val="21"/>
                <w:szCs w:val="21"/>
                <w:lang w:bidi="ar"/>
              </w:rPr>
              <w:t>病案首页规则</w:t>
            </w:r>
          </w:p>
        </w:tc>
        <w:tc>
          <w:tcPr>
            <w:tcW w:w="4284" w:type="dxa"/>
            <w:shd w:val="clear" w:color="auto" w:fill="auto"/>
            <w:vAlign w:val="center"/>
          </w:tcPr>
          <w:p w14:paraId="004A0297">
            <w:pPr>
              <w:widowControl/>
              <w:spacing w:line="240" w:lineRule="auto"/>
              <w:ind w:firstLine="0" w:firstLineChars="0"/>
              <w:textAlignment w:val="center"/>
              <w:rPr>
                <w:rFonts w:hint="eastAsia"/>
                <w:sz w:val="21"/>
                <w:szCs w:val="21"/>
              </w:rPr>
            </w:pPr>
            <w:r>
              <w:rPr>
                <w:rFonts w:hint="eastAsia"/>
                <w:sz w:val="21"/>
                <w:szCs w:val="21"/>
                <w:lang w:bidi="ar"/>
              </w:rPr>
              <w:t>该页面可对病案首页中的字段在现有的六种规则中进行配置和修改。以便于病案首页触发规则引擎进行相应的质控。</w:t>
            </w:r>
          </w:p>
        </w:tc>
      </w:tr>
      <w:tr w14:paraId="33E9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6" w:type="dxa"/>
            <w:shd w:val="clear" w:color="auto" w:fill="auto"/>
            <w:noWrap/>
            <w:vAlign w:val="center"/>
          </w:tcPr>
          <w:p w14:paraId="1AFD3AFA">
            <w:pPr>
              <w:widowControl/>
              <w:spacing w:line="240" w:lineRule="auto"/>
              <w:ind w:firstLine="0" w:firstLineChars="0"/>
              <w:jc w:val="center"/>
              <w:textAlignment w:val="center"/>
              <w:rPr>
                <w:rFonts w:hint="eastAsia"/>
                <w:sz w:val="21"/>
                <w:szCs w:val="21"/>
              </w:rPr>
            </w:pPr>
            <w:r>
              <w:rPr>
                <w:rFonts w:hint="eastAsia"/>
                <w:sz w:val="21"/>
                <w:szCs w:val="21"/>
                <w:lang w:bidi="ar"/>
              </w:rPr>
              <w:t>5</w:t>
            </w:r>
          </w:p>
        </w:tc>
        <w:tc>
          <w:tcPr>
            <w:tcW w:w="1322" w:type="dxa"/>
            <w:vMerge w:val="continue"/>
            <w:shd w:val="clear" w:color="auto" w:fill="auto"/>
            <w:vAlign w:val="center"/>
          </w:tcPr>
          <w:p w14:paraId="189F3F16">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001ADF53">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4EA69A3D">
            <w:pPr>
              <w:widowControl/>
              <w:spacing w:line="240" w:lineRule="auto"/>
              <w:ind w:firstLine="0" w:firstLineChars="0"/>
              <w:jc w:val="center"/>
              <w:textAlignment w:val="center"/>
              <w:rPr>
                <w:rFonts w:hint="eastAsia"/>
                <w:sz w:val="21"/>
                <w:szCs w:val="21"/>
              </w:rPr>
            </w:pPr>
            <w:r>
              <w:rPr>
                <w:rFonts w:hint="eastAsia"/>
                <w:sz w:val="21"/>
                <w:szCs w:val="21"/>
                <w:lang w:bidi="ar"/>
              </w:rPr>
              <w:t>病案首页大屏</w:t>
            </w:r>
          </w:p>
        </w:tc>
        <w:tc>
          <w:tcPr>
            <w:tcW w:w="4284" w:type="dxa"/>
            <w:shd w:val="clear" w:color="auto" w:fill="auto"/>
            <w:vAlign w:val="center"/>
          </w:tcPr>
          <w:p w14:paraId="5CC186C7">
            <w:pPr>
              <w:widowControl/>
              <w:spacing w:line="240" w:lineRule="auto"/>
              <w:ind w:firstLine="0" w:firstLineChars="0"/>
              <w:textAlignment w:val="center"/>
              <w:rPr>
                <w:rFonts w:hint="eastAsia"/>
                <w:sz w:val="21"/>
                <w:szCs w:val="21"/>
              </w:rPr>
            </w:pPr>
            <w:r>
              <w:rPr>
                <w:rFonts w:hint="eastAsia"/>
                <w:sz w:val="21"/>
                <w:szCs w:val="21"/>
                <w:lang w:bidi="ar"/>
              </w:rPr>
              <w:t>该页面可查看病案首页的概览，支持按照病案首页质控情况对全院病案首页质控通过、质控未通过、未进行质控情况进行分析；支持按科室、医生、患者多维度分析病案首页缺陷情况。</w:t>
            </w:r>
          </w:p>
        </w:tc>
      </w:tr>
      <w:tr w14:paraId="24E2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6" w:type="dxa"/>
            <w:shd w:val="clear" w:color="auto" w:fill="auto"/>
            <w:noWrap/>
            <w:vAlign w:val="center"/>
          </w:tcPr>
          <w:p w14:paraId="001B249F">
            <w:pPr>
              <w:widowControl/>
              <w:spacing w:line="240" w:lineRule="auto"/>
              <w:ind w:firstLine="0" w:firstLineChars="0"/>
              <w:jc w:val="center"/>
              <w:textAlignment w:val="center"/>
              <w:rPr>
                <w:rFonts w:hint="eastAsia"/>
                <w:sz w:val="21"/>
                <w:szCs w:val="21"/>
              </w:rPr>
            </w:pPr>
            <w:r>
              <w:rPr>
                <w:rFonts w:hint="eastAsia"/>
                <w:sz w:val="21"/>
                <w:szCs w:val="21"/>
                <w:lang w:bidi="ar"/>
              </w:rPr>
              <w:t>6</w:t>
            </w:r>
          </w:p>
        </w:tc>
        <w:tc>
          <w:tcPr>
            <w:tcW w:w="1322" w:type="dxa"/>
            <w:vMerge w:val="continue"/>
            <w:shd w:val="clear" w:color="auto" w:fill="auto"/>
            <w:vAlign w:val="center"/>
          </w:tcPr>
          <w:p w14:paraId="4A7006D3">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6B6F058F">
            <w:pPr>
              <w:widowControl/>
              <w:spacing w:line="240" w:lineRule="auto"/>
              <w:ind w:firstLine="0" w:firstLineChars="0"/>
              <w:jc w:val="center"/>
              <w:textAlignment w:val="center"/>
              <w:rPr>
                <w:rFonts w:hint="eastAsia"/>
                <w:sz w:val="21"/>
                <w:szCs w:val="21"/>
              </w:rPr>
            </w:pPr>
            <w:r>
              <w:rPr>
                <w:rFonts w:hint="eastAsia"/>
                <w:sz w:val="21"/>
                <w:szCs w:val="21"/>
                <w:lang w:bidi="ar"/>
              </w:rPr>
              <w:t>结算清单质控</w:t>
            </w:r>
          </w:p>
        </w:tc>
        <w:tc>
          <w:tcPr>
            <w:tcW w:w="1080" w:type="dxa"/>
            <w:shd w:val="clear" w:color="auto" w:fill="auto"/>
            <w:noWrap/>
            <w:vAlign w:val="center"/>
          </w:tcPr>
          <w:p w14:paraId="4DA7748E">
            <w:pPr>
              <w:widowControl/>
              <w:spacing w:line="240" w:lineRule="auto"/>
              <w:ind w:firstLine="0" w:firstLineChars="0"/>
              <w:jc w:val="center"/>
              <w:textAlignment w:val="center"/>
              <w:rPr>
                <w:rFonts w:hint="eastAsia"/>
                <w:sz w:val="21"/>
                <w:szCs w:val="21"/>
              </w:rPr>
            </w:pPr>
            <w:r>
              <w:rPr>
                <w:rFonts w:hint="eastAsia"/>
                <w:sz w:val="21"/>
                <w:szCs w:val="21"/>
                <w:lang w:bidi="ar"/>
              </w:rPr>
              <w:t>结算清单质控</w:t>
            </w:r>
          </w:p>
        </w:tc>
        <w:tc>
          <w:tcPr>
            <w:tcW w:w="4284" w:type="dxa"/>
            <w:shd w:val="clear" w:color="auto" w:fill="auto"/>
            <w:vAlign w:val="center"/>
          </w:tcPr>
          <w:p w14:paraId="2A75499E">
            <w:pPr>
              <w:widowControl/>
              <w:spacing w:line="240" w:lineRule="auto"/>
              <w:ind w:firstLine="0" w:firstLineChars="0"/>
              <w:textAlignment w:val="center"/>
              <w:rPr>
                <w:rFonts w:hint="eastAsia"/>
                <w:sz w:val="21"/>
                <w:szCs w:val="21"/>
              </w:rPr>
            </w:pPr>
            <w:r>
              <w:rPr>
                <w:rFonts w:hint="eastAsia"/>
                <w:sz w:val="21"/>
                <w:szCs w:val="21"/>
                <w:lang w:bidi="ar"/>
              </w:rPr>
              <w:t>该页面可查看全院结算清单及结算清单质控详情，可通过出院科别、主诊医师、金额合计、医保类型、主要手术编码、主要诊断编码等检索条件进行单项或多项综合查询，查询后的结果，在表格中进行显示。</w:t>
            </w:r>
          </w:p>
        </w:tc>
      </w:tr>
      <w:tr w14:paraId="153E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0966591E">
            <w:pPr>
              <w:widowControl/>
              <w:spacing w:line="240" w:lineRule="auto"/>
              <w:ind w:firstLine="0" w:firstLineChars="0"/>
              <w:jc w:val="center"/>
              <w:textAlignment w:val="center"/>
              <w:rPr>
                <w:rFonts w:hint="eastAsia"/>
                <w:sz w:val="21"/>
                <w:szCs w:val="21"/>
              </w:rPr>
            </w:pPr>
            <w:r>
              <w:rPr>
                <w:rFonts w:hint="eastAsia"/>
                <w:sz w:val="21"/>
                <w:szCs w:val="21"/>
                <w:lang w:bidi="ar"/>
              </w:rPr>
              <w:t>7</w:t>
            </w:r>
          </w:p>
        </w:tc>
        <w:tc>
          <w:tcPr>
            <w:tcW w:w="1322" w:type="dxa"/>
            <w:vMerge w:val="continue"/>
            <w:shd w:val="clear" w:color="auto" w:fill="auto"/>
            <w:vAlign w:val="center"/>
          </w:tcPr>
          <w:p w14:paraId="0093127D">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336C3651">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26033DA3">
            <w:pPr>
              <w:widowControl/>
              <w:spacing w:line="240" w:lineRule="auto"/>
              <w:ind w:firstLine="0" w:firstLineChars="0"/>
              <w:jc w:val="center"/>
              <w:textAlignment w:val="center"/>
              <w:rPr>
                <w:rFonts w:hint="eastAsia"/>
                <w:sz w:val="21"/>
                <w:szCs w:val="21"/>
              </w:rPr>
            </w:pPr>
            <w:r>
              <w:rPr>
                <w:rFonts w:hint="eastAsia"/>
                <w:sz w:val="21"/>
                <w:szCs w:val="21"/>
                <w:lang w:bidi="ar"/>
              </w:rPr>
              <w:t>结算清单规则</w:t>
            </w:r>
          </w:p>
        </w:tc>
        <w:tc>
          <w:tcPr>
            <w:tcW w:w="4284" w:type="dxa"/>
            <w:shd w:val="clear" w:color="auto" w:fill="auto"/>
            <w:vAlign w:val="center"/>
          </w:tcPr>
          <w:p w14:paraId="4E0E9057">
            <w:pPr>
              <w:widowControl/>
              <w:spacing w:line="240" w:lineRule="auto"/>
              <w:ind w:firstLine="0" w:firstLineChars="0"/>
              <w:textAlignment w:val="center"/>
              <w:rPr>
                <w:rFonts w:hint="eastAsia"/>
                <w:sz w:val="21"/>
                <w:szCs w:val="21"/>
              </w:rPr>
            </w:pPr>
            <w:r>
              <w:rPr>
                <w:rFonts w:hint="eastAsia"/>
                <w:sz w:val="21"/>
                <w:szCs w:val="21"/>
                <w:lang w:bidi="ar"/>
              </w:rPr>
              <w:t>该页面可对结算清单中的字段在现有的六种规则中进行配置和修改。以便于结算清单触发规则引擎进行相应的质控。</w:t>
            </w:r>
          </w:p>
        </w:tc>
      </w:tr>
      <w:tr w14:paraId="0D85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36" w:type="dxa"/>
            <w:shd w:val="clear" w:color="auto" w:fill="auto"/>
            <w:noWrap/>
            <w:vAlign w:val="center"/>
          </w:tcPr>
          <w:p w14:paraId="55E19C0C">
            <w:pPr>
              <w:widowControl/>
              <w:spacing w:line="240" w:lineRule="auto"/>
              <w:ind w:firstLine="0" w:firstLineChars="0"/>
              <w:jc w:val="center"/>
              <w:textAlignment w:val="center"/>
              <w:rPr>
                <w:rFonts w:hint="eastAsia"/>
                <w:sz w:val="21"/>
                <w:szCs w:val="21"/>
              </w:rPr>
            </w:pPr>
            <w:r>
              <w:rPr>
                <w:rFonts w:hint="eastAsia"/>
                <w:sz w:val="21"/>
                <w:szCs w:val="21"/>
                <w:lang w:bidi="ar"/>
              </w:rPr>
              <w:t>8</w:t>
            </w:r>
          </w:p>
        </w:tc>
        <w:tc>
          <w:tcPr>
            <w:tcW w:w="1322" w:type="dxa"/>
            <w:vMerge w:val="continue"/>
            <w:shd w:val="clear" w:color="auto" w:fill="auto"/>
            <w:vAlign w:val="center"/>
          </w:tcPr>
          <w:p w14:paraId="11FFC956">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38DB9E97">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49CFF4B6">
            <w:pPr>
              <w:widowControl/>
              <w:spacing w:line="240" w:lineRule="auto"/>
              <w:ind w:firstLine="0" w:firstLineChars="0"/>
              <w:jc w:val="center"/>
              <w:textAlignment w:val="center"/>
              <w:rPr>
                <w:rFonts w:hint="eastAsia"/>
                <w:sz w:val="21"/>
                <w:szCs w:val="21"/>
              </w:rPr>
            </w:pPr>
            <w:r>
              <w:rPr>
                <w:rFonts w:hint="eastAsia"/>
                <w:sz w:val="21"/>
                <w:szCs w:val="21"/>
                <w:lang w:bidi="ar"/>
              </w:rPr>
              <w:t>结算清单大屏</w:t>
            </w:r>
          </w:p>
        </w:tc>
        <w:tc>
          <w:tcPr>
            <w:tcW w:w="4284" w:type="dxa"/>
            <w:shd w:val="clear" w:color="auto" w:fill="auto"/>
            <w:vAlign w:val="center"/>
          </w:tcPr>
          <w:p w14:paraId="5C02424F">
            <w:pPr>
              <w:widowControl/>
              <w:spacing w:line="240" w:lineRule="auto"/>
              <w:ind w:firstLine="0" w:firstLineChars="0"/>
              <w:textAlignment w:val="center"/>
              <w:rPr>
                <w:rFonts w:hint="eastAsia"/>
                <w:sz w:val="21"/>
                <w:szCs w:val="21"/>
              </w:rPr>
            </w:pPr>
            <w:r>
              <w:rPr>
                <w:rFonts w:hint="eastAsia"/>
                <w:sz w:val="21"/>
                <w:szCs w:val="21"/>
                <w:lang w:bidi="ar"/>
              </w:rPr>
              <w:t>该页面可查看结算清单的概览，支持按照结算清单质控情况对全院结算清单质控通过、质控未通过、未进行质控情况进行分析；支持按科室、医生、患者多维度分析结算清单缺陷情况。</w:t>
            </w:r>
          </w:p>
        </w:tc>
      </w:tr>
      <w:tr w14:paraId="660C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66CE5BAD">
            <w:pPr>
              <w:widowControl/>
              <w:spacing w:line="240" w:lineRule="auto"/>
              <w:ind w:firstLine="0" w:firstLineChars="0"/>
              <w:jc w:val="center"/>
              <w:textAlignment w:val="center"/>
              <w:rPr>
                <w:rFonts w:hint="eastAsia"/>
                <w:sz w:val="21"/>
                <w:szCs w:val="21"/>
              </w:rPr>
            </w:pPr>
            <w:r>
              <w:rPr>
                <w:rFonts w:hint="eastAsia"/>
                <w:sz w:val="21"/>
                <w:szCs w:val="21"/>
                <w:lang w:bidi="ar"/>
              </w:rPr>
              <w:t>9</w:t>
            </w:r>
          </w:p>
        </w:tc>
        <w:tc>
          <w:tcPr>
            <w:tcW w:w="1322" w:type="dxa"/>
            <w:vMerge w:val="continue"/>
            <w:shd w:val="clear" w:color="auto" w:fill="auto"/>
            <w:vAlign w:val="center"/>
          </w:tcPr>
          <w:p w14:paraId="7764EA9E">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14012B28">
            <w:pPr>
              <w:widowControl/>
              <w:spacing w:line="240" w:lineRule="auto"/>
              <w:ind w:firstLine="0" w:firstLineChars="0"/>
              <w:jc w:val="center"/>
              <w:textAlignment w:val="center"/>
              <w:rPr>
                <w:rFonts w:hint="eastAsia"/>
                <w:sz w:val="21"/>
                <w:szCs w:val="21"/>
              </w:rPr>
            </w:pPr>
            <w:r>
              <w:rPr>
                <w:rFonts w:hint="eastAsia"/>
                <w:sz w:val="21"/>
                <w:szCs w:val="21"/>
                <w:lang w:bidi="ar"/>
              </w:rPr>
              <w:t>DIP分组管理</w:t>
            </w:r>
          </w:p>
        </w:tc>
        <w:tc>
          <w:tcPr>
            <w:tcW w:w="1080" w:type="dxa"/>
            <w:shd w:val="clear" w:color="auto" w:fill="auto"/>
            <w:noWrap/>
            <w:vAlign w:val="center"/>
          </w:tcPr>
          <w:p w14:paraId="50AC4482">
            <w:pPr>
              <w:widowControl/>
              <w:spacing w:line="240" w:lineRule="auto"/>
              <w:ind w:firstLine="0" w:firstLineChars="0"/>
              <w:jc w:val="center"/>
              <w:textAlignment w:val="center"/>
              <w:rPr>
                <w:rFonts w:hint="eastAsia"/>
                <w:sz w:val="21"/>
                <w:szCs w:val="21"/>
              </w:rPr>
            </w:pPr>
            <w:r>
              <w:rPr>
                <w:rFonts w:hint="eastAsia"/>
                <w:sz w:val="21"/>
                <w:szCs w:val="21"/>
                <w:lang w:bidi="ar"/>
              </w:rPr>
              <w:t>病案首页分组</w:t>
            </w:r>
          </w:p>
        </w:tc>
        <w:tc>
          <w:tcPr>
            <w:tcW w:w="4284" w:type="dxa"/>
            <w:shd w:val="clear" w:color="auto" w:fill="auto"/>
            <w:vAlign w:val="center"/>
          </w:tcPr>
          <w:p w14:paraId="75227F9C">
            <w:pPr>
              <w:widowControl/>
              <w:spacing w:line="240" w:lineRule="auto"/>
              <w:ind w:firstLine="0" w:firstLineChars="0"/>
              <w:textAlignment w:val="center"/>
              <w:rPr>
                <w:rFonts w:hint="eastAsia"/>
                <w:sz w:val="21"/>
                <w:szCs w:val="21"/>
              </w:rPr>
            </w:pPr>
            <w:r>
              <w:rPr>
                <w:rFonts w:hint="eastAsia"/>
                <w:sz w:val="21"/>
                <w:szCs w:val="21"/>
                <w:lang w:bidi="ar"/>
              </w:rPr>
              <w:t>对病案首页进行分组，展示分组后列表，提供筛选条件。</w:t>
            </w:r>
          </w:p>
        </w:tc>
      </w:tr>
      <w:tr w14:paraId="7BAB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22AC608C">
            <w:pPr>
              <w:widowControl/>
              <w:spacing w:line="240" w:lineRule="auto"/>
              <w:ind w:firstLine="0" w:firstLineChars="0"/>
              <w:jc w:val="center"/>
              <w:textAlignment w:val="center"/>
              <w:rPr>
                <w:rFonts w:hint="eastAsia"/>
                <w:sz w:val="21"/>
                <w:szCs w:val="21"/>
              </w:rPr>
            </w:pPr>
            <w:r>
              <w:rPr>
                <w:rFonts w:hint="eastAsia"/>
                <w:sz w:val="21"/>
                <w:szCs w:val="21"/>
                <w:lang w:bidi="ar"/>
              </w:rPr>
              <w:t>10</w:t>
            </w:r>
          </w:p>
        </w:tc>
        <w:tc>
          <w:tcPr>
            <w:tcW w:w="1322" w:type="dxa"/>
            <w:vMerge w:val="continue"/>
            <w:shd w:val="clear" w:color="auto" w:fill="auto"/>
            <w:vAlign w:val="center"/>
          </w:tcPr>
          <w:p w14:paraId="5E3E2B3F">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698E9B4A">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499D6527">
            <w:pPr>
              <w:widowControl/>
              <w:spacing w:line="240" w:lineRule="auto"/>
              <w:ind w:firstLine="0" w:firstLineChars="0"/>
              <w:jc w:val="center"/>
              <w:textAlignment w:val="center"/>
              <w:rPr>
                <w:rFonts w:hint="eastAsia"/>
                <w:sz w:val="21"/>
                <w:szCs w:val="21"/>
              </w:rPr>
            </w:pPr>
            <w:r>
              <w:rPr>
                <w:rFonts w:hint="eastAsia"/>
                <w:sz w:val="21"/>
                <w:szCs w:val="21"/>
                <w:lang w:bidi="ar"/>
              </w:rPr>
              <w:t>结算清单分组</w:t>
            </w:r>
          </w:p>
        </w:tc>
        <w:tc>
          <w:tcPr>
            <w:tcW w:w="4284" w:type="dxa"/>
            <w:shd w:val="clear" w:color="auto" w:fill="auto"/>
            <w:vAlign w:val="center"/>
          </w:tcPr>
          <w:p w14:paraId="57608265">
            <w:pPr>
              <w:widowControl/>
              <w:spacing w:line="240" w:lineRule="auto"/>
              <w:ind w:firstLine="0" w:firstLineChars="0"/>
              <w:textAlignment w:val="center"/>
              <w:rPr>
                <w:rFonts w:hint="eastAsia"/>
                <w:sz w:val="21"/>
                <w:szCs w:val="21"/>
              </w:rPr>
            </w:pPr>
            <w:r>
              <w:rPr>
                <w:rFonts w:hint="eastAsia"/>
                <w:sz w:val="21"/>
                <w:szCs w:val="21"/>
                <w:lang w:bidi="ar"/>
              </w:rPr>
              <w:t>对结算清单进行分组，展示分组后列表，提供筛选条件。</w:t>
            </w:r>
          </w:p>
        </w:tc>
      </w:tr>
      <w:tr w14:paraId="04A7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549D74B7">
            <w:pPr>
              <w:widowControl/>
              <w:spacing w:line="240" w:lineRule="auto"/>
              <w:ind w:firstLine="0" w:firstLineChars="0"/>
              <w:jc w:val="center"/>
              <w:textAlignment w:val="center"/>
              <w:rPr>
                <w:rFonts w:hint="eastAsia"/>
                <w:sz w:val="21"/>
                <w:szCs w:val="21"/>
              </w:rPr>
            </w:pPr>
            <w:r>
              <w:rPr>
                <w:rFonts w:hint="eastAsia"/>
                <w:sz w:val="21"/>
                <w:szCs w:val="21"/>
                <w:lang w:bidi="ar"/>
              </w:rPr>
              <w:t>11</w:t>
            </w:r>
          </w:p>
        </w:tc>
        <w:tc>
          <w:tcPr>
            <w:tcW w:w="1322" w:type="dxa"/>
            <w:vMerge w:val="continue"/>
            <w:shd w:val="clear" w:color="auto" w:fill="auto"/>
            <w:vAlign w:val="center"/>
          </w:tcPr>
          <w:p w14:paraId="4F24506A">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49E232B9">
            <w:pPr>
              <w:widowControl/>
              <w:spacing w:line="240" w:lineRule="auto"/>
              <w:ind w:firstLine="0" w:firstLineChars="0"/>
              <w:jc w:val="center"/>
              <w:textAlignment w:val="center"/>
              <w:rPr>
                <w:rFonts w:hint="eastAsia"/>
                <w:sz w:val="21"/>
                <w:szCs w:val="21"/>
              </w:rPr>
            </w:pPr>
            <w:r>
              <w:rPr>
                <w:rFonts w:hint="eastAsia"/>
                <w:sz w:val="21"/>
                <w:szCs w:val="21"/>
                <w:lang w:bidi="ar"/>
              </w:rPr>
              <w:t>DIP结算管理</w:t>
            </w:r>
          </w:p>
        </w:tc>
        <w:tc>
          <w:tcPr>
            <w:tcW w:w="1080" w:type="dxa"/>
            <w:shd w:val="clear" w:color="auto" w:fill="auto"/>
            <w:noWrap/>
            <w:vAlign w:val="center"/>
          </w:tcPr>
          <w:p w14:paraId="754EEFDB">
            <w:pPr>
              <w:widowControl/>
              <w:spacing w:line="240" w:lineRule="auto"/>
              <w:ind w:firstLine="0" w:firstLineChars="0"/>
              <w:jc w:val="center"/>
              <w:textAlignment w:val="center"/>
              <w:rPr>
                <w:rFonts w:hint="eastAsia"/>
                <w:sz w:val="21"/>
                <w:szCs w:val="21"/>
              </w:rPr>
            </w:pPr>
            <w:r>
              <w:rPr>
                <w:rFonts w:hint="eastAsia"/>
                <w:sz w:val="21"/>
                <w:szCs w:val="21"/>
                <w:lang w:bidi="ar"/>
              </w:rPr>
              <w:t>病案首页DIP基金支付</w:t>
            </w:r>
          </w:p>
        </w:tc>
        <w:tc>
          <w:tcPr>
            <w:tcW w:w="4284" w:type="dxa"/>
            <w:shd w:val="clear" w:color="auto" w:fill="auto"/>
            <w:vAlign w:val="center"/>
          </w:tcPr>
          <w:p w14:paraId="32572C3A">
            <w:pPr>
              <w:widowControl/>
              <w:spacing w:line="240" w:lineRule="auto"/>
              <w:ind w:firstLine="0" w:firstLineChars="0"/>
              <w:textAlignment w:val="center"/>
              <w:rPr>
                <w:rFonts w:hint="eastAsia"/>
                <w:sz w:val="21"/>
                <w:szCs w:val="21"/>
              </w:rPr>
            </w:pPr>
            <w:r>
              <w:rPr>
                <w:rFonts w:hint="eastAsia"/>
                <w:sz w:val="21"/>
                <w:szCs w:val="21"/>
                <w:lang w:bidi="ar"/>
              </w:rPr>
              <w:t>对病案首页进行基金支付的计算，展示分组后列表，提供筛选条件。</w:t>
            </w:r>
          </w:p>
        </w:tc>
      </w:tr>
      <w:tr w14:paraId="6155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3E02D62D">
            <w:pPr>
              <w:widowControl/>
              <w:spacing w:line="240" w:lineRule="auto"/>
              <w:ind w:firstLine="0" w:firstLineChars="0"/>
              <w:jc w:val="center"/>
              <w:textAlignment w:val="center"/>
              <w:rPr>
                <w:rFonts w:hint="eastAsia"/>
                <w:sz w:val="21"/>
                <w:szCs w:val="21"/>
              </w:rPr>
            </w:pPr>
            <w:r>
              <w:rPr>
                <w:rFonts w:hint="eastAsia"/>
                <w:sz w:val="21"/>
                <w:szCs w:val="21"/>
                <w:lang w:bidi="ar"/>
              </w:rPr>
              <w:t>12</w:t>
            </w:r>
          </w:p>
        </w:tc>
        <w:tc>
          <w:tcPr>
            <w:tcW w:w="1322" w:type="dxa"/>
            <w:vMerge w:val="continue"/>
            <w:shd w:val="clear" w:color="auto" w:fill="auto"/>
            <w:vAlign w:val="center"/>
          </w:tcPr>
          <w:p w14:paraId="6FD1BF51">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4842ECEE">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144124C6">
            <w:pPr>
              <w:widowControl/>
              <w:spacing w:line="240" w:lineRule="auto"/>
              <w:ind w:firstLine="0" w:firstLineChars="0"/>
              <w:jc w:val="center"/>
              <w:textAlignment w:val="center"/>
              <w:rPr>
                <w:rFonts w:hint="eastAsia"/>
                <w:sz w:val="21"/>
                <w:szCs w:val="21"/>
              </w:rPr>
            </w:pPr>
            <w:r>
              <w:rPr>
                <w:rFonts w:hint="eastAsia"/>
                <w:sz w:val="21"/>
                <w:szCs w:val="21"/>
                <w:lang w:bidi="ar"/>
              </w:rPr>
              <w:t>结算清单DIP基金支付</w:t>
            </w:r>
          </w:p>
        </w:tc>
        <w:tc>
          <w:tcPr>
            <w:tcW w:w="4284" w:type="dxa"/>
            <w:shd w:val="clear" w:color="auto" w:fill="auto"/>
            <w:vAlign w:val="center"/>
          </w:tcPr>
          <w:p w14:paraId="6862DEA9">
            <w:pPr>
              <w:widowControl/>
              <w:spacing w:line="240" w:lineRule="auto"/>
              <w:ind w:firstLine="0" w:firstLineChars="0"/>
              <w:textAlignment w:val="center"/>
              <w:rPr>
                <w:rFonts w:hint="eastAsia"/>
                <w:sz w:val="21"/>
                <w:szCs w:val="21"/>
              </w:rPr>
            </w:pPr>
            <w:r>
              <w:rPr>
                <w:rFonts w:hint="eastAsia"/>
                <w:sz w:val="21"/>
                <w:szCs w:val="21"/>
                <w:lang w:bidi="ar"/>
              </w:rPr>
              <w:t>对结算清单进行基金支付的计算，展示分组后列表，提供筛选条件。</w:t>
            </w:r>
          </w:p>
        </w:tc>
      </w:tr>
      <w:tr w14:paraId="4783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6" w:type="dxa"/>
            <w:shd w:val="clear" w:color="auto" w:fill="auto"/>
            <w:noWrap/>
            <w:vAlign w:val="center"/>
          </w:tcPr>
          <w:p w14:paraId="3618CF84">
            <w:pPr>
              <w:widowControl/>
              <w:spacing w:line="240" w:lineRule="auto"/>
              <w:ind w:firstLine="0" w:firstLineChars="0"/>
              <w:jc w:val="center"/>
              <w:textAlignment w:val="center"/>
              <w:rPr>
                <w:rFonts w:hint="eastAsia"/>
                <w:sz w:val="21"/>
                <w:szCs w:val="21"/>
              </w:rPr>
            </w:pPr>
            <w:r>
              <w:rPr>
                <w:rFonts w:hint="eastAsia"/>
                <w:sz w:val="21"/>
                <w:szCs w:val="21"/>
                <w:lang w:bidi="ar"/>
              </w:rPr>
              <w:t>13</w:t>
            </w:r>
          </w:p>
        </w:tc>
        <w:tc>
          <w:tcPr>
            <w:tcW w:w="1322" w:type="dxa"/>
            <w:vMerge w:val="continue"/>
            <w:shd w:val="clear" w:color="auto" w:fill="auto"/>
            <w:vAlign w:val="center"/>
          </w:tcPr>
          <w:p w14:paraId="51B5DD58">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7EA0F7BA">
            <w:pPr>
              <w:widowControl/>
              <w:spacing w:line="240" w:lineRule="auto"/>
              <w:ind w:firstLine="0" w:firstLineChars="0"/>
              <w:jc w:val="center"/>
              <w:textAlignment w:val="center"/>
              <w:rPr>
                <w:rFonts w:hint="eastAsia"/>
                <w:sz w:val="21"/>
                <w:szCs w:val="21"/>
              </w:rPr>
            </w:pPr>
            <w:r>
              <w:rPr>
                <w:rFonts w:hint="eastAsia"/>
                <w:sz w:val="21"/>
                <w:szCs w:val="21"/>
                <w:lang w:bidi="ar"/>
              </w:rPr>
              <w:t>DIP统计报表</w:t>
            </w:r>
          </w:p>
        </w:tc>
        <w:tc>
          <w:tcPr>
            <w:tcW w:w="1080" w:type="dxa"/>
            <w:shd w:val="clear" w:color="auto" w:fill="auto"/>
            <w:noWrap/>
            <w:vAlign w:val="center"/>
          </w:tcPr>
          <w:p w14:paraId="5B3C62AB">
            <w:pPr>
              <w:widowControl/>
              <w:spacing w:line="240" w:lineRule="auto"/>
              <w:ind w:firstLine="0" w:firstLineChars="0"/>
              <w:jc w:val="center"/>
              <w:textAlignment w:val="center"/>
              <w:rPr>
                <w:rFonts w:hint="eastAsia"/>
                <w:sz w:val="21"/>
                <w:szCs w:val="21"/>
              </w:rPr>
            </w:pPr>
            <w:r>
              <w:rPr>
                <w:rFonts w:hint="eastAsia"/>
                <w:sz w:val="21"/>
                <w:szCs w:val="21"/>
                <w:lang w:bidi="ar"/>
              </w:rPr>
              <w:t>质控情况统计报表</w:t>
            </w:r>
          </w:p>
        </w:tc>
        <w:tc>
          <w:tcPr>
            <w:tcW w:w="4284" w:type="dxa"/>
            <w:shd w:val="clear" w:color="auto" w:fill="auto"/>
            <w:vAlign w:val="center"/>
          </w:tcPr>
          <w:p w14:paraId="51F43E55">
            <w:pPr>
              <w:widowControl/>
              <w:spacing w:line="240" w:lineRule="auto"/>
              <w:ind w:firstLine="0" w:firstLineChars="0"/>
              <w:textAlignment w:val="center"/>
              <w:rPr>
                <w:rFonts w:hint="eastAsia"/>
                <w:sz w:val="21"/>
                <w:szCs w:val="21"/>
              </w:rPr>
            </w:pPr>
            <w:r>
              <w:rPr>
                <w:rFonts w:hint="eastAsia"/>
                <w:sz w:val="21"/>
                <w:szCs w:val="21"/>
                <w:lang w:bidi="ar"/>
              </w:rPr>
              <w:t>按科室、病区、医疗组、医生、病组、盈亏情况、时间区间等维度统计病案首页及结算清单质控情况、同时计算药占比，耗占比等指标。</w:t>
            </w:r>
          </w:p>
        </w:tc>
      </w:tr>
      <w:tr w14:paraId="1CCD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6" w:type="dxa"/>
            <w:shd w:val="clear" w:color="auto" w:fill="auto"/>
            <w:noWrap/>
            <w:vAlign w:val="center"/>
          </w:tcPr>
          <w:p w14:paraId="1C751672">
            <w:pPr>
              <w:widowControl/>
              <w:spacing w:line="240" w:lineRule="auto"/>
              <w:ind w:firstLine="0" w:firstLineChars="0"/>
              <w:jc w:val="center"/>
              <w:textAlignment w:val="center"/>
              <w:rPr>
                <w:rFonts w:hint="eastAsia"/>
                <w:sz w:val="21"/>
                <w:szCs w:val="21"/>
              </w:rPr>
            </w:pPr>
            <w:r>
              <w:rPr>
                <w:rFonts w:hint="eastAsia"/>
                <w:sz w:val="21"/>
                <w:szCs w:val="21"/>
                <w:lang w:bidi="ar"/>
              </w:rPr>
              <w:t>14</w:t>
            </w:r>
          </w:p>
        </w:tc>
        <w:tc>
          <w:tcPr>
            <w:tcW w:w="1322" w:type="dxa"/>
            <w:vMerge w:val="continue"/>
            <w:shd w:val="clear" w:color="auto" w:fill="auto"/>
            <w:vAlign w:val="center"/>
          </w:tcPr>
          <w:p w14:paraId="2D7E35B7">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50EEB438">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78BA2C83">
            <w:pPr>
              <w:widowControl/>
              <w:spacing w:line="240" w:lineRule="auto"/>
              <w:ind w:firstLine="0" w:firstLineChars="0"/>
              <w:jc w:val="center"/>
              <w:textAlignment w:val="center"/>
              <w:rPr>
                <w:rFonts w:hint="eastAsia"/>
                <w:sz w:val="21"/>
                <w:szCs w:val="21"/>
              </w:rPr>
            </w:pPr>
            <w:r>
              <w:rPr>
                <w:rFonts w:hint="eastAsia"/>
                <w:sz w:val="21"/>
                <w:szCs w:val="21"/>
                <w:lang w:bidi="ar"/>
              </w:rPr>
              <w:t>入组情况统计报表</w:t>
            </w:r>
          </w:p>
        </w:tc>
        <w:tc>
          <w:tcPr>
            <w:tcW w:w="4284" w:type="dxa"/>
            <w:shd w:val="clear" w:color="auto" w:fill="auto"/>
            <w:vAlign w:val="center"/>
          </w:tcPr>
          <w:p w14:paraId="6FD2CCFB">
            <w:pPr>
              <w:widowControl/>
              <w:spacing w:line="240" w:lineRule="auto"/>
              <w:ind w:firstLine="0" w:firstLineChars="0"/>
              <w:textAlignment w:val="center"/>
              <w:rPr>
                <w:rFonts w:hint="eastAsia"/>
                <w:sz w:val="21"/>
                <w:szCs w:val="21"/>
              </w:rPr>
            </w:pPr>
            <w:r>
              <w:rPr>
                <w:rFonts w:hint="eastAsia"/>
                <w:sz w:val="21"/>
                <w:szCs w:val="21"/>
                <w:lang w:bidi="ar"/>
              </w:rPr>
              <w:t>按科室、病区、医疗组、医生、病组、盈亏情况、时间区间等维度统计病案首页及结算清单DIP入组情况，包括入组类型、总数量、入组数量、入组率、未入组数量、未入组率、DIP组数。</w:t>
            </w:r>
          </w:p>
        </w:tc>
      </w:tr>
      <w:tr w14:paraId="09E2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6" w:type="dxa"/>
            <w:shd w:val="clear" w:color="auto" w:fill="auto"/>
            <w:noWrap/>
            <w:vAlign w:val="center"/>
          </w:tcPr>
          <w:p w14:paraId="5C2C9F79">
            <w:pPr>
              <w:widowControl/>
              <w:spacing w:line="240" w:lineRule="auto"/>
              <w:ind w:firstLine="0" w:firstLineChars="0"/>
              <w:jc w:val="center"/>
              <w:textAlignment w:val="center"/>
              <w:rPr>
                <w:rFonts w:hint="eastAsia"/>
                <w:sz w:val="21"/>
                <w:szCs w:val="21"/>
              </w:rPr>
            </w:pPr>
            <w:r>
              <w:rPr>
                <w:rFonts w:hint="eastAsia"/>
                <w:sz w:val="21"/>
                <w:szCs w:val="21"/>
                <w:lang w:bidi="ar"/>
              </w:rPr>
              <w:t>15</w:t>
            </w:r>
          </w:p>
        </w:tc>
        <w:tc>
          <w:tcPr>
            <w:tcW w:w="1322" w:type="dxa"/>
            <w:vMerge w:val="continue"/>
            <w:shd w:val="clear" w:color="auto" w:fill="auto"/>
            <w:vAlign w:val="center"/>
          </w:tcPr>
          <w:p w14:paraId="6601D8C8">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438B69BE">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17E10B82">
            <w:pPr>
              <w:widowControl/>
              <w:spacing w:line="240" w:lineRule="auto"/>
              <w:ind w:firstLine="0" w:firstLineChars="0"/>
              <w:jc w:val="center"/>
              <w:textAlignment w:val="center"/>
              <w:rPr>
                <w:rFonts w:hint="eastAsia"/>
                <w:sz w:val="21"/>
                <w:szCs w:val="21"/>
              </w:rPr>
            </w:pPr>
            <w:r>
              <w:rPr>
                <w:rFonts w:hint="eastAsia"/>
                <w:sz w:val="21"/>
                <w:szCs w:val="21"/>
                <w:lang w:bidi="ar"/>
              </w:rPr>
              <w:t>DIP基金支付统计报表</w:t>
            </w:r>
          </w:p>
        </w:tc>
        <w:tc>
          <w:tcPr>
            <w:tcW w:w="4284" w:type="dxa"/>
            <w:shd w:val="clear" w:color="auto" w:fill="auto"/>
            <w:vAlign w:val="center"/>
          </w:tcPr>
          <w:p w14:paraId="0F870845">
            <w:pPr>
              <w:widowControl/>
              <w:spacing w:line="240" w:lineRule="auto"/>
              <w:ind w:firstLine="0" w:firstLineChars="0"/>
              <w:textAlignment w:val="center"/>
              <w:rPr>
                <w:rFonts w:hint="eastAsia"/>
                <w:sz w:val="21"/>
                <w:szCs w:val="21"/>
              </w:rPr>
            </w:pPr>
            <w:r>
              <w:rPr>
                <w:rFonts w:hint="eastAsia"/>
                <w:sz w:val="21"/>
                <w:szCs w:val="21"/>
                <w:lang w:bidi="ar"/>
              </w:rPr>
              <w:t>按科室、病区、医疗组、医生、病组、盈亏情况、时间区间等维度统计病案首页及结算清单DIP基金支付情况，包括高低倍率、CMI、时间消耗指数、费用消耗指数。</w:t>
            </w:r>
          </w:p>
        </w:tc>
      </w:tr>
      <w:tr w14:paraId="0653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4524D6FC">
            <w:pPr>
              <w:widowControl/>
              <w:spacing w:line="240" w:lineRule="auto"/>
              <w:ind w:firstLine="0" w:firstLineChars="0"/>
              <w:jc w:val="center"/>
              <w:textAlignment w:val="center"/>
              <w:rPr>
                <w:rFonts w:hint="eastAsia"/>
                <w:sz w:val="21"/>
                <w:szCs w:val="21"/>
              </w:rPr>
            </w:pPr>
            <w:r>
              <w:rPr>
                <w:rFonts w:hint="eastAsia"/>
                <w:sz w:val="21"/>
                <w:szCs w:val="21"/>
                <w:lang w:bidi="ar"/>
              </w:rPr>
              <w:t>16</w:t>
            </w:r>
          </w:p>
        </w:tc>
        <w:tc>
          <w:tcPr>
            <w:tcW w:w="1322" w:type="dxa"/>
            <w:vMerge w:val="continue"/>
            <w:shd w:val="clear" w:color="auto" w:fill="auto"/>
            <w:vAlign w:val="center"/>
          </w:tcPr>
          <w:p w14:paraId="75511BFD">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7AB6A327">
            <w:pPr>
              <w:widowControl/>
              <w:spacing w:line="240" w:lineRule="auto"/>
              <w:ind w:firstLine="0" w:firstLineChars="0"/>
              <w:jc w:val="center"/>
              <w:textAlignment w:val="center"/>
              <w:rPr>
                <w:rFonts w:hint="eastAsia"/>
                <w:sz w:val="21"/>
                <w:szCs w:val="21"/>
              </w:rPr>
            </w:pPr>
            <w:r>
              <w:rPr>
                <w:rFonts w:hint="eastAsia"/>
                <w:sz w:val="21"/>
                <w:szCs w:val="21"/>
                <w:lang w:bidi="ar"/>
              </w:rPr>
              <w:t>医院端知识库</w:t>
            </w:r>
          </w:p>
        </w:tc>
        <w:tc>
          <w:tcPr>
            <w:tcW w:w="1080" w:type="dxa"/>
            <w:shd w:val="clear" w:color="auto" w:fill="auto"/>
            <w:noWrap/>
            <w:vAlign w:val="center"/>
          </w:tcPr>
          <w:p w14:paraId="7C96AA10">
            <w:pPr>
              <w:widowControl/>
              <w:spacing w:line="240" w:lineRule="auto"/>
              <w:ind w:firstLine="0" w:firstLineChars="0"/>
              <w:jc w:val="center"/>
              <w:textAlignment w:val="center"/>
              <w:rPr>
                <w:rFonts w:hint="eastAsia"/>
                <w:sz w:val="21"/>
                <w:szCs w:val="21"/>
              </w:rPr>
            </w:pPr>
            <w:r>
              <w:rPr>
                <w:rFonts w:hint="eastAsia"/>
                <w:sz w:val="21"/>
                <w:szCs w:val="21"/>
                <w:lang w:bidi="ar"/>
              </w:rPr>
              <w:t>政策库</w:t>
            </w:r>
          </w:p>
        </w:tc>
        <w:tc>
          <w:tcPr>
            <w:tcW w:w="4284" w:type="dxa"/>
            <w:shd w:val="clear" w:color="auto" w:fill="auto"/>
            <w:vAlign w:val="center"/>
          </w:tcPr>
          <w:p w14:paraId="6716B512">
            <w:pPr>
              <w:widowControl/>
              <w:spacing w:line="240" w:lineRule="auto"/>
              <w:ind w:firstLine="0" w:firstLineChars="0"/>
              <w:textAlignment w:val="center"/>
              <w:rPr>
                <w:rFonts w:hint="eastAsia"/>
                <w:sz w:val="21"/>
                <w:szCs w:val="21"/>
              </w:rPr>
            </w:pPr>
            <w:r>
              <w:rPr>
                <w:rFonts w:hint="eastAsia"/>
                <w:sz w:val="21"/>
                <w:szCs w:val="21"/>
                <w:lang w:bidi="ar"/>
              </w:rPr>
              <w:t>该页面可查看与医保相关的政策文件及具体政策详情。</w:t>
            </w:r>
          </w:p>
        </w:tc>
      </w:tr>
      <w:tr w14:paraId="4841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6" w:type="dxa"/>
            <w:shd w:val="clear" w:color="auto" w:fill="auto"/>
            <w:noWrap/>
            <w:vAlign w:val="center"/>
          </w:tcPr>
          <w:p w14:paraId="48E226C6">
            <w:pPr>
              <w:widowControl/>
              <w:spacing w:line="240" w:lineRule="auto"/>
              <w:ind w:firstLine="0" w:firstLineChars="0"/>
              <w:jc w:val="center"/>
              <w:textAlignment w:val="center"/>
              <w:rPr>
                <w:rFonts w:hint="eastAsia"/>
                <w:sz w:val="21"/>
                <w:szCs w:val="21"/>
              </w:rPr>
            </w:pPr>
            <w:r>
              <w:rPr>
                <w:rFonts w:hint="eastAsia"/>
                <w:sz w:val="21"/>
                <w:szCs w:val="21"/>
                <w:lang w:bidi="ar"/>
              </w:rPr>
              <w:t>17</w:t>
            </w:r>
          </w:p>
        </w:tc>
        <w:tc>
          <w:tcPr>
            <w:tcW w:w="1322" w:type="dxa"/>
            <w:vMerge w:val="continue"/>
            <w:shd w:val="clear" w:color="auto" w:fill="auto"/>
            <w:vAlign w:val="center"/>
          </w:tcPr>
          <w:p w14:paraId="595E8862">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6455BFC7">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72147101">
            <w:pPr>
              <w:widowControl/>
              <w:spacing w:line="240" w:lineRule="auto"/>
              <w:ind w:firstLine="0" w:firstLineChars="0"/>
              <w:jc w:val="center"/>
              <w:textAlignment w:val="center"/>
              <w:rPr>
                <w:rFonts w:hint="eastAsia"/>
                <w:sz w:val="21"/>
                <w:szCs w:val="21"/>
              </w:rPr>
            </w:pPr>
            <w:r>
              <w:rPr>
                <w:rFonts w:hint="eastAsia"/>
                <w:sz w:val="21"/>
                <w:szCs w:val="21"/>
                <w:lang w:bidi="ar"/>
              </w:rPr>
              <w:t>编码库</w:t>
            </w:r>
          </w:p>
        </w:tc>
        <w:tc>
          <w:tcPr>
            <w:tcW w:w="4284" w:type="dxa"/>
            <w:shd w:val="clear" w:color="auto" w:fill="auto"/>
            <w:vAlign w:val="center"/>
          </w:tcPr>
          <w:p w14:paraId="627C5B17">
            <w:pPr>
              <w:widowControl/>
              <w:spacing w:line="240" w:lineRule="auto"/>
              <w:ind w:firstLine="0" w:firstLineChars="0"/>
              <w:textAlignment w:val="center"/>
              <w:rPr>
                <w:rFonts w:hint="eastAsia"/>
                <w:sz w:val="21"/>
                <w:szCs w:val="21"/>
              </w:rPr>
            </w:pPr>
            <w:r>
              <w:rPr>
                <w:rFonts w:hint="eastAsia"/>
                <w:sz w:val="21"/>
                <w:szCs w:val="21"/>
                <w:lang w:bidi="ar"/>
              </w:rPr>
              <w:t>该页面可查看与医保相关的编码信息及编码映射目录。病案首页分组预先进行的诊断编码映射（临床版2.0映射到医保版2.0）、手术及操作编码映射目录（临床版2.0映射到医保版2.0）。</w:t>
            </w:r>
          </w:p>
        </w:tc>
      </w:tr>
      <w:tr w14:paraId="662C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5BAAC165">
            <w:pPr>
              <w:widowControl/>
              <w:spacing w:line="240" w:lineRule="auto"/>
              <w:ind w:firstLine="0" w:firstLineChars="0"/>
              <w:jc w:val="center"/>
              <w:textAlignment w:val="center"/>
              <w:rPr>
                <w:rFonts w:hint="eastAsia"/>
                <w:sz w:val="21"/>
                <w:szCs w:val="21"/>
              </w:rPr>
            </w:pPr>
            <w:r>
              <w:rPr>
                <w:rFonts w:hint="eastAsia"/>
                <w:sz w:val="21"/>
                <w:szCs w:val="21"/>
                <w:lang w:bidi="ar"/>
              </w:rPr>
              <w:t>18</w:t>
            </w:r>
          </w:p>
        </w:tc>
        <w:tc>
          <w:tcPr>
            <w:tcW w:w="1322" w:type="dxa"/>
            <w:vMerge w:val="continue"/>
            <w:shd w:val="clear" w:color="auto" w:fill="auto"/>
            <w:vAlign w:val="center"/>
          </w:tcPr>
          <w:p w14:paraId="0C205B66">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5715C361">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6970D8BC">
            <w:pPr>
              <w:widowControl/>
              <w:spacing w:line="240" w:lineRule="auto"/>
              <w:ind w:firstLine="0" w:firstLineChars="0"/>
              <w:jc w:val="center"/>
              <w:textAlignment w:val="center"/>
              <w:rPr>
                <w:rFonts w:hint="eastAsia"/>
                <w:sz w:val="21"/>
                <w:szCs w:val="21"/>
              </w:rPr>
            </w:pPr>
            <w:r>
              <w:rPr>
                <w:rFonts w:hint="eastAsia"/>
                <w:sz w:val="21"/>
                <w:szCs w:val="21"/>
                <w:lang w:bidi="ar"/>
              </w:rPr>
              <w:t>字段库</w:t>
            </w:r>
          </w:p>
        </w:tc>
        <w:tc>
          <w:tcPr>
            <w:tcW w:w="4284" w:type="dxa"/>
            <w:shd w:val="clear" w:color="auto" w:fill="auto"/>
            <w:vAlign w:val="center"/>
          </w:tcPr>
          <w:p w14:paraId="317B0DBD">
            <w:pPr>
              <w:widowControl/>
              <w:spacing w:line="240" w:lineRule="auto"/>
              <w:ind w:firstLine="0" w:firstLineChars="0"/>
              <w:textAlignment w:val="center"/>
              <w:rPr>
                <w:rFonts w:hint="eastAsia"/>
                <w:sz w:val="21"/>
                <w:szCs w:val="21"/>
              </w:rPr>
            </w:pPr>
            <w:r>
              <w:rPr>
                <w:rFonts w:hint="eastAsia"/>
                <w:sz w:val="21"/>
                <w:szCs w:val="21"/>
                <w:lang w:bidi="ar"/>
              </w:rPr>
              <w:t>该页面可查看病案首页和结算清单中的字段详情，及对应字段出自于对应文件的锚点配置。</w:t>
            </w:r>
          </w:p>
        </w:tc>
      </w:tr>
      <w:tr w14:paraId="3980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47BEFE12">
            <w:pPr>
              <w:widowControl/>
              <w:spacing w:line="240" w:lineRule="auto"/>
              <w:ind w:firstLine="0" w:firstLineChars="0"/>
              <w:jc w:val="center"/>
              <w:textAlignment w:val="center"/>
              <w:rPr>
                <w:rFonts w:hint="eastAsia"/>
                <w:sz w:val="21"/>
                <w:szCs w:val="21"/>
              </w:rPr>
            </w:pPr>
            <w:r>
              <w:rPr>
                <w:rFonts w:hint="eastAsia"/>
                <w:sz w:val="21"/>
                <w:szCs w:val="21"/>
                <w:lang w:bidi="ar"/>
              </w:rPr>
              <w:t>19</w:t>
            </w:r>
          </w:p>
        </w:tc>
        <w:tc>
          <w:tcPr>
            <w:tcW w:w="1322" w:type="dxa"/>
            <w:vMerge w:val="continue"/>
            <w:shd w:val="clear" w:color="auto" w:fill="auto"/>
            <w:vAlign w:val="center"/>
          </w:tcPr>
          <w:p w14:paraId="03CDCFC0">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7310C0A3">
            <w:pPr>
              <w:widowControl/>
              <w:spacing w:line="240" w:lineRule="auto"/>
              <w:ind w:firstLine="0" w:firstLineChars="0"/>
              <w:jc w:val="center"/>
              <w:textAlignment w:val="center"/>
              <w:rPr>
                <w:rFonts w:hint="eastAsia"/>
                <w:sz w:val="21"/>
                <w:szCs w:val="21"/>
              </w:rPr>
            </w:pPr>
            <w:r>
              <w:rPr>
                <w:rFonts w:hint="eastAsia"/>
                <w:sz w:val="21"/>
                <w:szCs w:val="21"/>
                <w:lang w:bidi="ar"/>
              </w:rPr>
              <w:t>基础信息管理</w:t>
            </w:r>
          </w:p>
        </w:tc>
        <w:tc>
          <w:tcPr>
            <w:tcW w:w="1080" w:type="dxa"/>
            <w:shd w:val="clear" w:color="auto" w:fill="auto"/>
            <w:noWrap/>
            <w:vAlign w:val="center"/>
          </w:tcPr>
          <w:p w14:paraId="3931D958">
            <w:pPr>
              <w:widowControl/>
              <w:spacing w:line="240" w:lineRule="auto"/>
              <w:ind w:firstLine="0" w:firstLineChars="0"/>
              <w:jc w:val="center"/>
              <w:textAlignment w:val="center"/>
              <w:rPr>
                <w:rFonts w:hint="eastAsia"/>
                <w:sz w:val="21"/>
                <w:szCs w:val="21"/>
              </w:rPr>
            </w:pPr>
            <w:r>
              <w:rPr>
                <w:rFonts w:hint="eastAsia"/>
                <w:sz w:val="21"/>
                <w:szCs w:val="21"/>
                <w:lang w:bidi="ar"/>
              </w:rPr>
              <w:t>院区信息维护</w:t>
            </w:r>
          </w:p>
        </w:tc>
        <w:tc>
          <w:tcPr>
            <w:tcW w:w="4284" w:type="dxa"/>
            <w:shd w:val="clear" w:color="auto" w:fill="auto"/>
            <w:vAlign w:val="center"/>
          </w:tcPr>
          <w:p w14:paraId="1409BCB9">
            <w:pPr>
              <w:widowControl/>
              <w:spacing w:line="240" w:lineRule="auto"/>
              <w:ind w:firstLine="0" w:firstLineChars="0"/>
              <w:textAlignment w:val="center"/>
              <w:rPr>
                <w:rFonts w:hint="eastAsia"/>
                <w:sz w:val="21"/>
                <w:szCs w:val="21"/>
              </w:rPr>
            </w:pPr>
            <w:r>
              <w:rPr>
                <w:rFonts w:hint="eastAsia"/>
                <w:sz w:val="21"/>
                <w:szCs w:val="21"/>
                <w:lang w:bidi="ar"/>
              </w:rPr>
              <w:t>维护医院院区信息</w:t>
            </w:r>
          </w:p>
        </w:tc>
      </w:tr>
      <w:tr w14:paraId="7C4E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3594E2F6">
            <w:pPr>
              <w:widowControl/>
              <w:spacing w:line="240" w:lineRule="auto"/>
              <w:ind w:firstLine="0" w:firstLineChars="0"/>
              <w:jc w:val="center"/>
              <w:textAlignment w:val="center"/>
              <w:rPr>
                <w:rFonts w:hint="eastAsia"/>
                <w:sz w:val="21"/>
                <w:szCs w:val="21"/>
              </w:rPr>
            </w:pPr>
            <w:r>
              <w:rPr>
                <w:rFonts w:hint="eastAsia"/>
                <w:sz w:val="21"/>
                <w:szCs w:val="21"/>
                <w:lang w:bidi="ar"/>
              </w:rPr>
              <w:t>20</w:t>
            </w:r>
          </w:p>
        </w:tc>
        <w:tc>
          <w:tcPr>
            <w:tcW w:w="1322" w:type="dxa"/>
            <w:vMerge w:val="continue"/>
            <w:shd w:val="clear" w:color="auto" w:fill="auto"/>
            <w:vAlign w:val="center"/>
          </w:tcPr>
          <w:p w14:paraId="27766945">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6B9330CE">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33BAE1AE">
            <w:pPr>
              <w:widowControl/>
              <w:spacing w:line="240" w:lineRule="auto"/>
              <w:ind w:firstLine="0" w:firstLineChars="0"/>
              <w:jc w:val="center"/>
              <w:textAlignment w:val="center"/>
              <w:rPr>
                <w:rFonts w:hint="eastAsia"/>
                <w:sz w:val="21"/>
                <w:szCs w:val="21"/>
              </w:rPr>
            </w:pPr>
            <w:r>
              <w:rPr>
                <w:rFonts w:hint="eastAsia"/>
                <w:sz w:val="21"/>
                <w:szCs w:val="21"/>
                <w:lang w:bidi="ar"/>
              </w:rPr>
              <w:t>科室信息维护</w:t>
            </w:r>
          </w:p>
        </w:tc>
        <w:tc>
          <w:tcPr>
            <w:tcW w:w="4284" w:type="dxa"/>
            <w:shd w:val="clear" w:color="auto" w:fill="auto"/>
            <w:vAlign w:val="center"/>
          </w:tcPr>
          <w:p w14:paraId="7F57A4AC">
            <w:pPr>
              <w:widowControl/>
              <w:spacing w:line="240" w:lineRule="auto"/>
              <w:ind w:firstLine="0" w:firstLineChars="0"/>
              <w:textAlignment w:val="center"/>
              <w:rPr>
                <w:rFonts w:hint="eastAsia"/>
                <w:sz w:val="21"/>
                <w:szCs w:val="21"/>
              </w:rPr>
            </w:pPr>
            <w:r>
              <w:rPr>
                <w:rFonts w:hint="eastAsia"/>
                <w:sz w:val="21"/>
                <w:szCs w:val="21"/>
                <w:lang w:bidi="ar"/>
              </w:rPr>
              <w:t>维护科室编号与科室名称及医保科室编号的关联关系</w:t>
            </w:r>
          </w:p>
        </w:tc>
      </w:tr>
      <w:tr w14:paraId="1691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259BC46E">
            <w:pPr>
              <w:widowControl/>
              <w:spacing w:line="240" w:lineRule="auto"/>
              <w:ind w:firstLine="0" w:firstLineChars="0"/>
              <w:jc w:val="center"/>
              <w:textAlignment w:val="center"/>
              <w:rPr>
                <w:rFonts w:hint="eastAsia"/>
                <w:sz w:val="21"/>
                <w:szCs w:val="21"/>
              </w:rPr>
            </w:pPr>
            <w:r>
              <w:rPr>
                <w:rFonts w:hint="eastAsia"/>
                <w:sz w:val="21"/>
                <w:szCs w:val="21"/>
                <w:lang w:bidi="ar"/>
              </w:rPr>
              <w:t>21</w:t>
            </w:r>
          </w:p>
        </w:tc>
        <w:tc>
          <w:tcPr>
            <w:tcW w:w="1322" w:type="dxa"/>
            <w:vMerge w:val="continue"/>
            <w:shd w:val="clear" w:color="auto" w:fill="auto"/>
            <w:vAlign w:val="center"/>
          </w:tcPr>
          <w:p w14:paraId="140C5BFB">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40DB12C3">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3AB896DA">
            <w:pPr>
              <w:widowControl/>
              <w:spacing w:line="240" w:lineRule="auto"/>
              <w:ind w:firstLine="0" w:firstLineChars="0"/>
              <w:jc w:val="center"/>
              <w:textAlignment w:val="center"/>
              <w:rPr>
                <w:rFonts w:hint="eastAsia"/>
                <w:sz w:val="21"/>
                <w:szCs w:val="21"/>
              </w:rPr>
            </w:pPr>
            <w:r>
              <w:rPr>
                <w:rFonts w:hint="eastAsia"/>
                <w:sz w:val="21"/>
                <w:szCs w:val="21"/>
                <w:lang w:bidi="ar"/>
              </w:rPr>
              <w:t>医生组信息维护</w:t>
            </w:r>
          </w:p>
        </w:tc>
        <w:tc>
          <w:tcPr>
            <w:tcW w:w="4284" w:type="dxa"/>
            <w:shd w:val="clear" w:color="auto" w:fill="auto"/>
            <w:vAlign w:val="center"/>
          </w:tcPr>
          <w:p w14:paraId="0D838A82">
            <w:pPr>
              <w:widowControl/>
              <w:spacing w:line="240" w:lineRule="auto"/>
              <w:ind w:firstLine="0" w:firstLineChars="0"/>
              <w:textAlignment w:val="center"/>
              <w:rPr>
                <w:rFonts w:hint="eastAsia"/>
                <w:sz w:val="21"/>
                <w:szCs w:val="21"/>
              </w:rPr>
            </w:pPr>
            <w:r>
              <w:rPr>
                <w:rFonts w:hint="eastAsia"/>
                <w:sz w:val="21"/>
                <w:szCs w:val="21"/>
                <w:lang w:bidi="ar"/>
              </w:rPr>
              <w:t>维护系统医生组编号与医生组名称的关联关系</w:t>
            </w:r>
          </w:p>
        </w:tc>
      </w:tr>
      <w:tr w14:paraId="5A88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4E493042">
            <w:pPr>
              <w:widowControl/>
              <w:spacing w:line="240" w:lineRule="auto"/>
              <w:ind w:firstLine="0" w:firstLineChars="0"/>
              <w:jc w:val="center"/>
              <w:textAlignment w:val="center"/>
              <w:rPr>
                <w:rFonts w:hint="eastAsia"/>
                <w:sz w:val="21"/>
                <w:szCs w:val="21"/>
              </w:rPr>
            </w:pPr>
            <w:r>
              <w:rPr>
                <w:rFonts w:hint="eastAsia"/>
                <w:sz w:val="21"/>
                <w:szCs w:val="21"/>
                <w:lang w:bidi="ar"/>
              </w:rPr>
              <w:t>22</w:t>
            </w:r>
          </w:p>
        </w:tc>
        <w:tc>
          <w:tcPr>
            <w:tcW w:w="1322" w:type="dxa"/>
            <w:vMerge w:val="continue"/>
            <w:shd w:val="clear" w:color="auto" w:fill="auto"/>
            <w:vAlign w:val="center"/>
          </w:tcPr>
          <w:p w14:paraId="36671639">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4D38F141">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6CED19C4">
            <w:pPr>
              <w:widowControl/>
              <w:spacing w:line="240" w:lineRule="auto"/>
              <w:ind w:firstLine="0" w:firstLineChars="0"/>
              <w:jc w:val="center"/>
              <w:textAlignment w:val="center"/>
              <w:rPr>
                <w:rFonts w:hint="eastAsia"/>
                <w:sz w:val="21"/>
                <w:szCs w:val="21"/>
              </w:rPr>
            </w:pPr>
            <w:r>
              <w:rPr>
                <w:rFonts w:hint="eastAsia"/>
                <w:sz w:val="21"/>
                <w:szCs w:val="21"/>
                <w:lang w:bidi="ar"/>
              </w:rPr>
              <w:t>院内人员信息维护</w:t>
            </w:r>
          </w:p>
        </w:tc>
        <w:tc>
          <w:tcPr>
            <w:tcW w:w="4284" w:type="dxa"/>
            <w:shd w:val="clear" w:color="auto" w:fill="auto"/>
            <w:vAlign w:val="center"/>
          </w:tcPr>
          <w:p w14:paraId="01FB3DFC">
            <w:pPr>
              <w:widowControl/>
              <w:spacing w:line="240" w:lineRule="auto"/>
              <w:ind w:firstLine="0" w:firstLineChars="0"/>
              <w:textAlignment w:val="center"/>
              <w:rPr>
                <w:rFonts w:hint="eastAsia"/>
                <w:sz w:val="21"/>
                <w:szCs w:val="21"/>
              </w:rPr>
            </w:pPr>
            <w:r>
              <w:rPr>
                <w:rFonts w:hint="eastAsia"/>
                <w:sz w:val="21"/>
                <w:szCs w:val="21"/>
                <w:lang w:bidi="ar"/>
              </w:rPr>
              <w:t>维护院内人员的用户信息</w:t>
            </w:r>
          </w:p>
        </w:tc>
      </w:tr>
      <w:tr w14:paraId="23B5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36DE4DDB">
            <w:pPr>
              <w:widowControl/>
              <w:spacing w:line="240" w:lineRule="auto"/>
              <w:ind w:firstLine="0" w:firstLineChars="0"/>
              <w:jc w:val="center"/>
              <w:textAlignment w:val="center"/>
              <w:rPr>
                <w:rFonts w:hint="eastAsia"/>
                <w:sz w:val="21"/>
                <w:szCs w:val="21"/>
              </w:rPr>
            </w:pPr>
            <w:r>
              <w:rPr>
                <w:rFonts w:hint="eastAsia"/>
                <w:sz w:val="21"/>
                <w:szCs w:val="21"/>
                <w:lang w:bidi="ar"/>
              </w:rPr>
              <w:t>23</w:t>
            </w:r>
          </w:p>
        </w:tc>
        <w:tc>
          <w:tcPr>
            <w:tcW w:w="1322" w:type="dxa"/>
            <w:vMerge w:val="continue"/>
            <w:shd w:val="clear" w:color="auto" w:fill="auto"/>
            <w:vAlign w:val="center"/>
          </w:tcPr>
          <w:p w14:paraId="2AF46F81">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71792D81">
            <w:pPr>
              <w:widowControl/>
              <w:spacing w:line="240" w:lineRule="auto"/>
              <w:ind w:firstLine="0" w:firstLineChars="0"/>
              <w:jc w:val="center"/>
              <w:textAlignment w:val="center"/>
              <w:rPr>
                <w:rFonts w:hint="eastAsia"/>
                <w:sz w:val="21"/>
                <w:szCs w:val="21"/>
              </w:rPr>
            </w:pPr>
            <w:r>
              <w:rPr>
                <w:rFonts w:hint="eastAsia"/>
                <w:sz w:val="21"/>
                <w:szCs w:val="21"/>
                <w:lang w:bidi="ar"/>
              </w:rPr>
              <w:t>DIP政策配置</w:t>
            </w:r>
          </w:p>
        </w:tc>
        <w:tc>
          <w:tcPr>
            <w:tcW w:w="1080" w:type="dxa"/>
            <w:shd w:val="clear" w:color="auto" w:fill="auto"/>
            <w:noWrap/>
            <w:vAlign w:val="center"/>
          </w:tcPr>
          <w:p w14:paraId="3032521D">
            <w:pPr>
              <w:widowControl/>
              <w:spacing w:line="240" w:lineRule="auto"/>
              <w:ind w:firstLine="0" w:firstLineChars="0"/>
              <w:jc w:val="center"/>
              <w:textAlignment w:val="center"/>
              <w:rPr>
                <w:rFonts w:hint="eastAsia"/>
                <w:sz w:val="21"/>
                <w:szCs w:val="21"/>
              </w:rPr>
            </w:pPr>
            <w:r>
              <w:rPr>
                <w:rFonts w:hint="eastAsia"/>
                <w:sz w:val="21"/>
                <w:szCs w:val="21"/>
                <w:lang w:bidi="ar"/>
              </w:rPr>
              <w:t>基金方案管理</w:t>
            </w:r>
          </w:p>
        </w:tc>
        <w:tc>
          <w:tcPr>
            <w:tcW w:w="4284" w:type="dxa"/>
            <w:shd w:val="clear" w:color="auto" w:fill="auto"/>
            <w:vAlign w:val="center"/>
          </w:tcPr>
          <w:p w14:paraId="51FE42B4">
            <w:pPr>
              <w:widowControl/>
              <w:spacing w:line="240" w:lineRule="auto"/>
              <w:ind w:firstLine="0" w:firstLineChars="0"/>
              <w:textAlignment w:val="center"/>
              <w:rPr>
                <w:rFonts w:hint="eastAsia"/>
                <w:sz w:val="21"/>
                <w:szCs w:val="21"/>
              </w:rPr>
            </w:pPr>
            <w:r>
              <w:rPr>
                <w:rFonts w:hint="eastAsia"/>
                <w:sz w:val="21"/>
                <w:szCs w:val="21"/>
                <w:lang w:bidi="ar"/>
              </w:rPr>
              <w:t>运维人员用于维护系统用到的分值、点值、倍率、系数等用于计算预估结算金额的配置信息</w:t>
            </w:r>
          </w:p>
        </w:tc>
      </w:tr>
      <w:tr w14:paraId="4FD1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22E27510">
            <w:pPr>
              <w:widowControl/>
              <w:spacing w:line="240" w:lineRule="auto"/>
              <w:ind w:firstLine="0" w:firstLineChars="0"/>
              <w:jc w:val="center"/>
              <w:textAlignment w:val="center"/>
              <w:rPr>
                <w:rFonts w:hint="eastAsia"/>
                <w:sz w:val="21"/>
                <w:szCs w:val="21"/>
              </w:rPr>
            </w:pPr>
            <w:r>
              <w:rPr>
                <w:rFonts w:hint="eastAsia"/>
                <w:sz w:val="21"/>
                <w:szCs w:val="21"/>
                <w:lang w:bidi="ar"/>
              </w:rPr>
              <w:t>24</w:t>
            </w:r>
          </w:p>
        </w:tc>
        <w:tc>
          <w:tcPr>
            <w:tcW w:w="1322" w:type="dxa"/>
            <w:vMerge w:val="continue"/>
            <w:shd w:val="clear" w:color="auto" w:fill="auto"/>
            <w:vAlign w:val="center"/>
          </w:tcPr>
          <w:p w14:paraId="354BA247">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12B9F2EC">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079EA4B4">
            <w:pPr>
              <w:widowControl/>
              <w:spacing w:line="240" w:lineRule="auto"/>
              <w:ind w:firstLine="0" w:firstLineChars="0"/>
              <w:jc w:val="center"/>
              <w:textAlignment w:val="center"/>
              <w:rPr>
                <w:rFonts w:hint="eastAsia"/>
                <w:sz w:val="21"/>
                <w:szCs w:val="21"/>
              </w:rPr>
            </w:pPr>
            <w:r>
              <w:rPr>
                <w:rFonts w:hint="eastAsia"/>
                <w:sz w:val="21"/>
                <w:szCs w:val="21"/>
                <w:lang w:bidi="ar"/>
              </w:rPr>
              <w:t>分组方案管理</w:t>
            </w:r>
          </w:p>
        </w:tc>
        <w:tc>
          <w:tcPr>
            <w:tcW w:w="4284" w:type="dxa"/>
            <w:shd w:val="clear" w:color="auto" w:fill="auto"/>
            <w:vAlign w:val="center"/>
          </w:tcPr>
          <w:p w14:paraId="3865976B">
            <w:pPr>
              <w:widowControl/>
              <w:spacing w:line="240" w:lineRule="auto"/>
              <w:ind w:firstLine="0" w:firstLineChars="0"/>
              <w:textAlignment w:val="center"/>
              <w:rPr>
                <w:rFonts w:hint="eastAsia"/>
                <w:sz w:val="21"/>
                <w:szCs w:val="21"/>
              </w:rPr>
            </w:pPr>
            <w:r>
              <w:rPr>
                <w:rFonts w:hint="eastAsia"/>
                <w:sz w:val="21"/>
                <w:szCs w:val="21"/>
                <w:lang w:bidi="ar"/>
              </w:rPr>
              <w:t>运维人员用于维护系统用到的主目录、辅助目录、参数等用于分组的配置信息</w:t>
            </w:r>
          </w:p>
        </w:tc>
      </w:tr>
      <w:tr w14:paraId="565F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43CAEFD5">
            <w:pPr>
              <w:widowControl/>
              <w:spacing w:line="240" w:lineRule="auto"/>
              <w:ind w:firstLine="0" w:firstLineChars="0"/>
              <w:jc w:val="center"/>
              <w:textAlignment w:val="center"/>
              <w:rPr>
                <w:rFonts w:hint="eastAsia"/>
                <w:sz w:val="21"/>
                <w:szCs w:val="21"/>
              </w:rPr>
            </w:pPr>
            <w:r>
              <w:rPr>
                <w:rFonts w:hint="eastAsia"/>
                <w:sz w:val="21"/>
                <w:szCs w:val="21"/>
                <w:lang w:bidi="ar"/>
              </w:rPr>
              <w:t>25</w:t>
            </w:r>
          </w:p>
        </w:tc>
        <w:tc>
          <w:tcPr>
            <w:tcW w:w="1322" w:type="dxa"/>
            <w:vMerge w:val="continue"/>
            <w:shd w:val="clear" w:color="auto" w:fill="auto"/>
            <w:vAlign w:val="center"/>
          </w:tcPr>
          <w:p w14:paraId="00598C61">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2C3161D1">
            <w:pPr>
              <w:widowControl/>
              <w:spacing w:line="240" w:lineRule="auto"/>
              <w:ind w:firstLine="0" w:firstLineChars="0"/>
              <w:jc w:val="center"/>
              <w:textAlignment w:val="center"/>
              <w:rPr>
                <w:rFonts w:hint="eastAsia"/>
                <w:sz w:val="21"/>
                <w:szCs w:val="21"/>
              </w:rPr>
            </w:pPr>
            <w:r>
              <w:rPr>
                <w:rFonts w:hint="eastAsia"/>
                <w:sz w:val="21"/>
                <w:szCs w:val="21"/>
                <w:lang w:bidi="ar"/>
              </w:rPr>
              <w:t>DIP政策查询</w:t>
            </w:r>
          </w:p>
        </w:tc>
        <w:tc>
          <w:tcPr>
            <w:tcW w:w="1080" w:type="dxa"/>
            <w:shd w:val="clear" w:color="auto" w:fill="auto"/>
            <w:noWrap/>
            <w:vAlign w:val="center"/>
          </w:tcPr>
          <w:p w14:paraId="2236C3D4">
            <w:pPr>
              <w:widowControl/>
              <w:spacing w:line="240" w:lineRule="auto"/>
              <w:ind w:firstLine="0" w:firstLineChars="0"/>
              <w:jc w:val="center"/>
              <w:textAlignment w:val="center"/>
              <w:rPr>
                <w:rFonts w:hint="eastAsia"/>
                <w:sz w:val="21"/>
                <w:szCs w:val="21"/>
              </w:rPr>
            </w:pPr>
            <w:r>
              <w:rPr>
                <w:rFonts w:hint="eastAsia"/>
                <w:sz w:val="21"/>
                <w:szCs w:val="21"/>
                <w:lang w:bidi="ar"/>
              </w:rPr>
              <w:t>主目录查询</w:t>
            </w:r>
          </w:p>
        </w:tc>
        <w:tc>
          <w:tcPr>
            <w:tcW w:w="4284" w:type="dxa"/>
            <w:shd w:val="clear" w:color="auto" w:fill="auto"/>
            <w:vAlign w:val="center"/>
          </w:tcPr>
          <w:p w14:paraId="0CD2E48E">
            <w:pPr>
              <w:widowControl/>
              <w:spacing w:line="240" w:lineRule="auto"/>
              <w:ind w:firstLine="0" w:firstLineChars="0"/>
              <w:textAlignment w:val="center"/>
              <w:rPr>
                <w:rFonts w:hint="eastAsia"/>
                <w:sz w:val="21"/>
                <w:szCs w:val="21"/>
              </w:rPr>
            </w:pPr>
            <w:r>
              <w:rPr>
                <w:rFonts w:hint="eastAsia"/>
                <w:sz w:val="21"/>
                <w:szCs w:val="21"/>
                <w:lang w:bidi="ar"/>
              </w:rPr>
              <w:t>运维人员用于查看当前生效或已经失效的主目录信息</w:t>
            </w:r>
          </w:p>
        </w:tc>
      </w:tr>
      <w:tr w14:paraId="1B77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399F0BE4">
            <w:pPr>
              <w:widowControl/>
              <w:spacing w:line="240" w:lineRule="auto"/>
              <w:ind w:firstLine="0" w:firstLineChars="0"/>
              <w:jc w:val="center"/>
              <w:textAlignment w:val="center"/>
              <w:rPr>
                <w:rFonts w:hint="eastAsia"/>
                <w:sz w:val="21"/>
                <w:szCs w:val="21"/>
              </w:rPr>
            </w:pPr>
            <w:r>
              <w:rPr>
                <w:rFonts w:hint="eastAsia"/>
                <w:sz w:val="21"/>
                <w:szCs w:val="21"/>
                <w:lang w:bidi="ar"/>
              </w:rPr>
              <w:t>26</w:t>
            </w:r>
          </w:p>
        </w:tc>
        <w:tc>
          <w:tcPr>
            <w:tcW w:w="1322" w:type="dxa"/>
            <w:vMerge w:val="continue"/>
            <w:shd w:val="clear" w:color="auto" w:fill="auto"/>
            <w:vAlign w:val="center"/>
          </w:tcPr>
          <w:p w14:paraId="2FEAD2C9">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6BD4E773">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545C51D2">
            <w:pPr>
              <w:widowControl/>
              <w:spacing w:line="240" w:lineRule="auto"/>
              <w:ind w:firstLine="0" w:firstLineChars="0"/>
              <w:jc w:val="center"/>
              <w:textAlignment w:val="center"/>
              <w:rPr>
                <w:rFonts w:hint="eastAsia"/>
                <w:sz w:val="21"/>
                <w:szCs w:val="21"/>
              </w:rPr>
            </w:pPr>
            <w:r>
              <w:rPr>
                <w:rFonts w:hint="eastAsia"/>
                <w:sz w:val="21"/>
                <w:szCs w:val="21"/>
                <w:lang w:bidi="ar"/>
              </w:rPr>
              <w:t>辅助目录查询</w:t>
            </w:r>
          </w:p>
        </w:tc>
        <w:tc>
          <w:tcPr>
            <w:tcW w:w="4284" w:type="dxa"/>
            <w:shd w:val="clear" w:color="auto" w:fill="auto"/>
            <w:vAlign w:val="center"/>
          </w:tcPr>
          <w:p w14:paraId="3399DE06">
            <w:pPr>
              <w:widowControl/>
              <w:spacing w:line="240" w:lineRule="auto"/>
              <w:ind w:firstLine="0" w:firstLineChars="0"/>
              <w:textAlignment w:val="center"/>
              <w:rPr>
                <w:rFonts w:hint="eastAsia"/>
                <w:sz w:val="21"/>
                <w:szCs w:val="21"/>
              </w:rPr>
            </w:pPr>
            <w:r>
              <w:rPr>
                <w:rFonts w:hint="eastAsia"/>
                <w:sz w:val="21"/>
                <w:szCs w:val="21"/>
                <w:lang w:bidi="ar"/>
              </w:rPr>
              <w:t>运维人员用于查看当前生效或已经失效的辅助目录信息</w:t>
            </w:r>
          </w:p>
        </w:tc>
      </w:tr>
      <w:tr w14:paraId="0E8B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42B6EBD7">
            <w:pPr>
              <w:widowControl/>
              <w:spacing w:line="240" w:lineRule="auto"/>
              <w:ind w:firstLine="0" w:firstLineChars="0"/>
              <w:jc w:val="center"/>
              <w:textAlignment w:val="center"/>
              <w:rPr>
                <w:rFonts w:hint="eastAsia"/>
                <w:sz w:val="21"/>
                <w:szCs w:val="21"/>
              </w:rPr>
            </w:pPr>
            <w:r>
              <w:rPr>
                <w:rFonts w:hint="eastAsia"/>
                <w:sz w:val="21"/>
                <w:szCs w:val="21"/>
                <w:lang w:bidi="ar"/>
              </w:rPr>
              <w:t>27</w:t>
            </w:r>
          </w:p>
        </w:tc>
        <w:tc>
          <w:tcPr>
            <w:tcW w:w="1322" w:type="dxa"/>
            <w:vMerge w:val="continue"/>
            <w:shd w:val="clear" w:color="auto" w:fill="auto"/>
            <w:vAlign w:val="center"/>
          </w:tcPr>
          <w:p w14:paraId="25CC9C80">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77C80870">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38129CE2">
            <w:pPr>
              <w:widowControl/>
              <w:spacing w:line="240" w:lineRule="auto"/>
              <w:ind w:firstLine="0" w:firstLineChars="0"/>
              <w:jc w:val="center"/>
              <w:textAlignment w:val="center"/>
              <w:rPr>
                <w:rFonts w:hint="eastAsia"/>
                <w:sz w:val="21"/>
                <w:szCs w:val="21"/>
              </w:rPr>
            </w:pPr>
            <w:r>
              <w:rPr>
                <w:rFonts w:hint="eastAsia"/>
                <w:sz w:val="21"/>
                <w:szCs w:val="21"/>
                <w:lang w:bidi="ar"/>
              </w:rPr>
              <w:t>辅助目录参数查询</w:t>
            </w:r>
          </w:p>
        </w:tc>
        <w:tc>
          <w:tcPr>
            <w:tcW w:w="4284" w:type="dxa"/>
            <w:shd w:val="clear" w:color="auto" w:fill="auto"/>
            <w:vAlign w:val="center"/>
          </w:tcPr>
          <w:p w14:paraId="48ACD2F6">
            <w:pPr>
              <w:widowControl/>
              <w:spacing w:line="240" w:lineRule="auto"/>
              <w:ind w:firstLine="0" w:firstLineChars="0"/>
              <w:textAlignment w:val="center"/>
              <w:rPr>
                <w:rFonts w:hint="eastAsia"/>
                <w:sz w:val="21"/>
                <w:szCs w:val="21"/>
              </w:rPr>
            </w:pPr>
            <w:r>
              <w:rPr>
                <w:rFonts w:hint="eastAsia"/>
                <w:sz w:val="21"/>
                <w:szCs w:val="21"/>
                <w:lang w:bidi="ar"/>
              </w:rPr>
              <w:t>运维人员用于查看当前生效或已经失效的辅助目录参信息</w:t>
            </w:r>
          </w:p>
        </w:tc>
      </w:tr>
      <w:tr w14:paraId="44CC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1CDBB9E3">
            <w:pPr>
              <w:widowControl/>
              <w:spacing w:line="240" w:lineRule="auto"/>
              <w:ind w:firstLine="0" w:firstLineChars="0"/>
              <w:jc w:val="center"/>
              <w:textAlignment w:val="center"/>
              <w:rPr>
                <w:rFonts w:hint="eastAsia"/>
                <w:sz w:val="21"/>
                <w:szCs w:val="21"/>
              </w:rPr>
            </w:pPr>
            <w:r>
              <w:rPr>
                <w:rFonts w:hint="eastAsia"/>
                <w:sz w:val="21"/>
                <w:szCs w:val="21"/>
                <w:lang w:bidi="ar"/>
              </w:rPr>
              <w:t>28</w:t>
            </w:r>
          </w:p>
        </w:tc>
        <w:tc>
          <w:tcPr>
            <w:tcW w:w="1322" w:type="dxa"/>
            <w:vMerge w:val="continue"/>
            <w:shd w:val="clear" w:color="auto" w:fill="auto"/>
            <w:vAlign w:val="center"/>
          </w:tcPr>
          <w:p w14:paraId="5F560522">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4B3EBEEB">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6E8F832F">
            <w:pPr>
              <w:widowControl/>
              <w:spacing w:line="240" w:lineRule="auto"/>
              <w:ind w:firstLine="0" w:firstLineChars="0"/>
              <w:jc w:val="center"/>
              <w:textAlignment w:val="center"/>
              <w:rPr>
                <w:rFonts w:hint="eastAsia"/>
                <w:sz w:val="21"/>
                <w:szCs w:val="21"/>
              </w:rPr>
            </w:pPr>
            <w:r>
              <w:rPr>
                <w:rFonts w:hint="eastAsia"/>
                <w:sz w:val="21"/>
                <w:szCs w:val="21"/>
                <w:lang w:bidi="ar"/>
              </w:rPr>
              <w:t>DIP手术参数查询</w:t>
            </w:r>
          </w:p>
        </w:tc>
        <w:tc>
          <w:tcPr>
            <w:tcW w:w="4284" w:type="dxa"/>
            <w:shd w:val="clear" w:color="auto" w:fill="auto"/>
            <w:vAlign w:val="center"/>
          </w:tcPr>
          <w:p w14:paraId="20F5CE12">
            <w:pPr>
              <w:widowControl/>
              <w:spacing w:line="240" w:lineRule="auto"/>
              <w:ind w:firstLine="0" w:firstLineChars="0"/>
              <w:textAlignment w:val="center"/>
              <w:rPr>
                <w:rFonts w:hint="eastAsia"/>
                <w:sz w:val="21"/>
                <w:szCs w:val="21"/>
              </w:rPr>
            </w:pPr>
            <w:r>
              <w:rPr>
                <w:rFonts w:hint="eastAsia"/>
                <w:sz w:val="21"/>
                <w:szCs w:val="21"/>
                <w:lang w:bidi="ar"/>
              </w:rPr>
              <w:t>运维人员用于查看当前生效或已经失效的DIP手术参数信息</w:t>
            </w:r>
          </w:p>
        </w:tc>
      </w:tr>
      <w:tr w14:paraId="28FE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6EFF4FD3">
            <w:pPr>
              <w:widowControl/>
              <w:spacing w:line="240" w:lineRule="auto"/>
              <w:ind w:firstLine="0" w:firstLineChars="0"/>
              <w:jc w:val="center"/>
              <w:textAlignment w:val="center"/>
              <w:rPr>
                <w:rFonts w:hint="eastAsia"/>
                <w:sz w:val="21"/>
                <w:szCs w:val="21"/>
              </w:rPr>
            </w:pPr>
            <w:r>
              <w:rPr>
                <w:rFonts w:hint="eastAsia"/>
                <w:sz w:val="21"/>
                <w:szCs w:val="21"/>
                <w:lang w:bidi="ar"/>
              </w:rPr>
              <w:t>29</w:t>
            </w:r>
          </w:p>
        </w:tc>
        <w:tc>
          <w:tcPr>
            <w:tcW w:w="1322" w:type="dxa"/>
            <w:vMerge w:val="continue"/>
            <w:shd w:val="clear" w:color="auto" w:fill="auto"/>
            <w:vAlign w:val="center"/>
          </w:tcPr>
          <w:p w14:paraId="40D96574">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270C9B91">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1CA0D6E8">
            <w:pPr>
              <w:widowControl/>
              <w:spacing w:line="240" w:lineRule="auto"/>
              <w:ind w:firstLine="0" w:firstLineChars="0"/>
              <w:jc w:val="center"/>
              <w:textAlignment w:val="center"/>
              <w:rPr>
                <w:rFonts w:hint="eastAsia"/>
                <w:sz w:val="21"/>
                <w:szCs w:val="21"/>
              </w:rPr>
            </w:pPr>
            <w:r>
              <w:rPr>
                <w:rFonts w:hint="eastAsia"/>
                <w:sz w:val="21"/>
                <w:szCs w:val="21"/>
                <w:lang w:bidi="ar"/>
              </w:rPr>
              <w:t>辅助目录体征查询</w:t>
            </w:r>
          </w:p>
        </w:tc>
        <w:tc>
          <w:tcPr>
            <w:tcW w:w="4284" w:type="dxa"/>
            <w:shd w:val="clear" w:color="auto" w:fill="auto"/>
            <w:vAlign w:val="center"/>
          </w:tcPr>
          <w:p w14:paraId="54D90E59">
            <w:pPr>
              <w:widowControl/>
              <w:spacing w:line="240" w:lineRule="auto"/>
              <w:ind w:firstLine="0" w:firstLineChars="0"/>
              <w:textAlignment w:val="center"/>
              <w:rPr>
                <w:rFonts w:hint="eastAsia"/>
                <w:sz w:val="21"/>
                <w:szCs w:val="21"/>
              </w:rPr>
            </w:pPr>
            <w:r>
              <w:rPr>
                <w:rFonts w:hint="eastAsia"/>
                <w:sz w:val="21"/>
                <w:szCs w:val="21"/>
                <w:lang w:bidi="ar"/>
              </w:rPr>
              <w:t>运维人员用于查看当前生效或已经失效的辅助目录体征信息</w:t>
            </w:r>
          </w:p>
        </w:tc>
      </w:tr>
      <w:tr w14:paraId="3BB6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6CA8E14F">
            <w:pPr>
              <w:widowControl/>
              <w:spacing w:line="240" w:lineRule="auto"/>
              <w:ind w:firstLine="0" w:firstLineChars="0"/>
              <w:jc w:val="center"/>
              <w:textAlignment w:val="center"/>
              <w:rPr>
                <w:rFonts w:hint="eastAsia"/>
                <w:sz w:val="21"/>
                <w:szCs w:val="21"/>
              </w:rPr>
            </w:pPr>
            <w:r>
              <w:rPr>
                <w:rFonts w:hint="eastAsia"/>
                <w:sz w:val="21"/>
                <w:szCs w:val="21"/>
                <w:lang w:bidi="ar"/>
              </w:rPr>
              <w:t>30</w:t>
            </w:r>
          </w:p>
        </w:tc>
        <w:tc>
          <w:tcPr>
            <w:tcW w:w="1322" w:type="dxa"/>
            <w:vMerge w:val="continue"/>
            <w:shd w:val="clear" w:color="auto" w:fill="auto"/>
            <w:vAlign w:val="center"/>
          </w:tcPr>
          <w:p w14:paraId="64D08FB7">
            <w:pPr>
              <w:widowControl/>
              <w:spacing w:line="240" w:lineRule="auto"/>
              <w:ind w:firstLine="0" w:firstLineChars="0"/>
              <w:jc w:val="center"/>
              <w:rPr>
                <w:rFonts w:hint="eastAsia"/>
                <w:sz w:val="21"/>
                <w:szCs w:val="21"/>
              </w:rPr>
            </w:pPr>
          </w:p>
        </w:tc>
        <w:tc>
          <w:tcPr>
            <w:tcW w:w="1200" w:type="dxa"/>
            <w:vMerge w:val="restart"/>
            <w:shd w:val="clear" w:color="auto" w:fill="auto"/>
            <w:vAlign w:val="center"/>
          </w:tcPr>
          <w:p w14:paraId="55A3DABF">
            <w:pPr>
              <w:widowControl/>
              <w:spacing w:line="240" w:lineRule="auto"/>
              <w:ind w:firstLine="0" w:firstLineChars="0"/>
              <w:jc w:val="center"/>
              <w:textAlignment w:val="center"/>
              <w:rPr>
                <w:rFonts w:hint="eastAsia"/>
                <w:sz w:val="21"/>
                <w:szCs w:val="21"/>
              </w:rPr>
            </w:pPr>
            <w:r>
              <w:rPr>
                <w:rFonts w:hint="eastAsia"/>
                <w:sz w:val="21"/>
                <w:szCs w:val="21"/>
                <w:lang w:bidi="ar"/>
              </w:rPr>
              <w:t>系统管理</w:t>
            </w:r>
          </w:p>
        </w:tc>
        <w:tc>
          <w:tcPr>
            <w:tcW w:w="1080" w:type="dxa"/>
            <w:shd w:val="clear" w:color="auto" w:fill="auto"/>
            <w:noWrap/>
            <w:vAlign w:val="center"/>
          </w:tcPr>
          <w:p w14:paraId="64661555">
            <w:pPr>
              <w:widowControl/>
              <w:spacing w:line="240" w:lineRule="auto"/>
              <w:ind w:firstLine="0" w:firstLineChars="0"/>
              <w:jc w:val="center"/>
              <w:textAlignment w:val="center"/>
              <w:rPr>
                <w:rFonts w:hint="eastAsia"/>
                <w:sz w:val="21"/>
                <w:szCs w:val="21"/>
              </w:rPr>
            </w:pPr>
            <w:r>
              <w:rPr>
                <w:rFonts w:hint="eastAsia"/>
                <w:sz w:val="21"/>
                <w:szCs w:val="21"/>
                <w:lang w:bidi="ar"/>
              </w:rPr>
              <w:t>用户管理</w:t>
            </w:r>
          </w:p>
        </w:tc>
        <w:tc>
          <w:tcPr>
            <w:tcW w:w="4284" w:type="dxa"/>
            <w:shd w:val="clear" w:color="auto" w:fill="auto"/>
            <w:vAlign w:val="center"/>
          </w:tcPr>
          <w:p w14:paraId="10C70FD4">
            <w:pPr>
              <w:widowControl/>
              <w:spacing w:line="240" w:lineRule="auto"/>
              <w:ind w:firstLine="0" w:firstLineChars="0"/>
              <w:textAlignment w:val="center"/>
              <w:rPr>
                <w:rFonts w:hint="eastAsia"/>
                <w:sz w:val="21"/>
                <w:szCs w:val="21"/>
              </w:rPr>
            </w:pPr>
            <w:r>
              <w:rPr>
                <w:rFonts w:hint="eastAsia"/>
                <w:sz w:val="21"/>
                <w:szCs w:val="21"/>
                <w:lang w:bidi="ar"/>
              </w:rPr>
              <w:t>负责系统用户账号的创建、修改、删除及状态管理，支持多条件查询、密码重置和角色分配</w:t>
            </w:r>
          </w:p>
        </w:tc>
      </w:tr>
      <w:tr w14:paraId="0A76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68337878">
            <w:pPr>
              <w:widowControl/>
              <w:spacing w:line="240" w:lineRule="auto"/>
              <w:ind w:firstLine="0" w:firstLineChars="0"/>
              <w:jc w:val="center"/>
              <w:textAlignment w:val="center"/>
              <w:rPr>
                <w:rFonts w:hint="eastAsia"/>
                <w:sz w:val="21"/>
                <w:szCs w:val="21"/>
              </w:rPr>
            </w:pPr>
            <w:r>
              <w:rPr>
                <w:rFonts w:hint="eastAsia"/>
                <w:sz w:val="21"/>
                <w:szCs w:val="21"/>
                <w:lang w:bidi="ar"/>
              </w:rPr>
              <w:t>31</w:t>
            </w:r>
          </w:p>
        </w:tc>
        <w:tc>
          <w:tcPr>
            <w:tcW w:w="1322" w:type="dxa"/>
            <w:vMerge w:val="continue"/>
            <w:shd w:val="clear" w:color="auto" w:fill="auto"/>
            <w:vAlign w:val="center"/>
          </w:tcPr>
          <w:p w14:paraId="23CD792C">
            <w:pPr>
              <w:widowControl/>
              <w:spacing w:line="240" w:lineRule="auto"/>
              <w:ind w:firstLine="0" w:firstLineChars="0"/>
              <w:jc w:val="center"/>
              <w:rPr>
                <w:rFonts w:hint="eastAsia"/>
                <w:sz w:val="21"/>
                <w:szCs w:val="21"/>
              </w:rPr>
            </w:pPr>
          </w:p>
        </w:tc>
        <w:tc>
          <w:tcPr>
            <w:tcW w:w="1200" w:type="dxa"/>
            <w:vMerge w:val="continue"/>
            <w:shd w:val="clear" w:color="auto" w:fill="auto"/>
            <w:vAlign w:val="center"/>
          </w:tcPr>
          <w:p w14:paraId="1EB54E34">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3D4D7ACB">
            <w:pPr>
              <w:widowControl/>
              <w:spacing w:line="240" w:lineRule="auto"/>
              <w:ind w:firstLine="0" w:firstLineChars="0"/>
              <w:jc w:val="center"/>
              <w:textAlignment w:val="center"/>
              <w:rPr>
                <w:rFonts w:hint="eastAsia"/>
                <w:sz w:val="21"/>
                <w:szCs w:val="21"/>
              </w:rPr>
            </w:pPr>
            <w:r>
              <w:rPr>
                <w:rFonts w:hint="eastAsia"/>
                <w:sz w:val="21"/>
                <w:szCs w:val="21"/>
                <w:lang w:bidi="ar"/>
              </w:rPr>
              <w:t>角色管理</w:t>
            </w:r>
          </w:p>
        </w:tc>
        <w:tc>
          <w:tcPr>
            <w:tcW w:w="4284" w:type="dxa"/>
            <w:shd w:val="clear" w:color="auto" w:fill="auto"/>
            <w:vAlign w:val="center"/>
          </w:tcPr>
          <w:p w14:paraId="6265817B">
            <w:pPr>
              <w:widowControl/>
              <w:spacing w:line="240" w:lineRule="auto"/>
              <w:ind w:firstLine="0" w:firstLineChars="0"/>
              <w:textAlignment w:val="center"/>
              <w:rPr>
                <w:rFonts w:hint="eastAsia"/>
                <w:sz w:val="21"/>
                <w:szCs w:val="21"/>
              </w:rPr>
            </w:pPr>
            <w:r>
              <w:rPr>
                <w:rFonts w:hint="eastAsia"/>
                <w:sz w:val="21"/>
                <w:szCs w:val="21"/>
                <w:lang w:bidi="ar"/>
              </w:rPr>
              <w:t>可配置菜单访问、数据范围及操作权限，支持角色层级设置和用户关联，满足不同岗位的权限隔离需求。</w:t>
            </w:r>
          </w:p>
        </w:tc>
      </w:tr>
      <w:tr w14:paraId="0CEC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6" w:type="dxa"/>
            <w:shd w:val="clear" w:color="auto" w:fill="auto"/>
            <w:noWrap/>
            <w:vAlign w:val="center"/>
          </w:tcPr>
          <w:p w14:paraId="22F3D0DC">
            <w:pPr>
              <w:widowControl/>
              <w:spacing w:line="240" w:lineRule="auto"/>
              <w:ind w:firstLine="0" w:firstLineChars="0"/>
              <w:jc w:val="center"/>
              <w:textAlignment w:val="center"/>
              <w:rPr>
                <w:rFonts w:hint="eastAsia"/>
                <w:sz w:val="21"/>
                <w:szCs w:val="21"/>
              </w:rPr>
            </w:pPr>
            <w:r>
              <w:rPr>
                <w:rFonts w:hint="eastAsia"/>
                <w:sz w:val="21"/>
                <w:szCs w:val="21"/>
                <w:lang w:bidi="ar"/>
              </w:rPr>
              <w:t>32</w:t>
            </w:r>
          </w:p>
        </w:tc>
        <w:tc>
          <w:tcPr>
            <w:tcW w:w="1322" w:type="dxa"/>
            <w:vMerge w:val="continue"/>
            <w:shd w:val="clear" w:color="auto" w:fill="auto"/>
            <w:vAlign w:val="center"/>
          </w:tcPr>
          <w:p w14:paraId="2CA53A69">
            <w:pPr>
              <w:widowControl/>
              <w:spacing w:line="240" w:lineRule="auto"/>
              <w:ind w:firstLine="0" w:firstLineChars="0"/>
              <w:jc w:val="center"/>
              <w:rPr>
                <w:rFonts w:hint="eastAsia"/>
                <w:sz w:val="21"/>
                <w:szCs w:val="21"/>
              </w:rPr>
            </w:pPr>
          </w:p>
        </w:tc>
        <w:tc>
          <w:tcPr>
            <w:tcW w:w="1200" w:type="dxa"/>
            <w:vMerge w:val="continue"/>
            <w:shd w:val="clear" w:color="auto" w:fill="auto"/>
            <w:vAlign w:val="center"/>
          </w:tcPr>
          <w:p w14:paraId="0A8E12E2">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2501ED69">
            <w:pPr>
              <w:widowControl/>
              <w:spacing w:line="240" w:lineRule="auto"/>
              <w:ind w:firstLine="0" w:firstLineChars="0"/>
              <w:jc w:val="center"/>
              <w:textAlignment w:val="center"/>
              <w:rPr>
                <w:rFonts w:hint="eastAsia"/>
                <w:sz w:val="21"/>
                <w:szCs w:val="21"/>
              </w:rPr>
            </w:pPr>
            <w:r>
              <w:rPr>
                <w:rFonts w:hint="eastAsia"/>
                <w:sz w:val="21"/>
                <w:szCs w:val="21"/>
                <w:lang w:bidi="ar"/>
              </w:rPr>
              <w:t>菜单管理</w:t>
            </w:r>
          </w:p>
        </w:tc>
        <w:tc>
          <w:tcPr>
            <w:tcW w:w="4284" w:type="dxa"/>
            <w:shd w:val="clear" w:color="auto" w:fill="auto"/>
            <w:vAlign w:val="center"/>
          </w:tcPr>
          <w:p w14:paraId="621BF8A4">
            <w:pPr>
              <w:widowControl/>
              <w:spacing w:line="240" w:lineRule="auto"/>
              <w:ind w:firstLine="0" w:firstLineChars="0"/>
              <w:textAlignment w:val="center"/>
              <w:rPr>
                <w:rFonts w:hint="eastAsia"/>
                <w:sz w:val="21"/>
                <w:szCs w:val="21"/>
              </w:rPr>
            </w:pPr>
            <w:r>
              <w:rPr>
                <w:rFonts w:hint="eastAsia"/>
                <w:sz w:val="21"/>
                <w:szCs w:val="21"/>
                <w:lang w:bidi="ar"/>
              </w:rPr>
              <w:t>动态管理系统前端菜单和按钮权限，支持树形结构配置多级导航，设置菜单图标、路由和可见性，自动生成Vue路由，实现角色权限与菜单的动态匹配。</w:t>
            </w:r>
          </w:p>
        </w:tc>
      </w:tr>
      <w:tr w14:paraId="1A37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6" w:type="dxa"/>
            <w:shd w:val="clear" w:color="auto" w:fill="auto"/>
            <w:noWrap/>
            <w:vAlign w:val="center"/>
          </w:tcPr>
          <w:p w14:paraId="7BF2B553">
            <w:pPr>
              <w:widowControl/>
              <w:spacing w:line="240" w:lineRule="auto"/>
              <w:ind w:firstLine="0" w:firstLineChars="0"/>
              <w:jc w:val="center"/>
              <w:textAlignment w:val="center"/>
              <w:rPr>
                <w:rFonts w:hint="eastAsia"/>
                <w:sz w:val="21"/>
                <w:szCs w:val="21"/>
              </w:rPr>
            </w:pPr>
            <w:r>
              <w:rPr>
                <w:rFonts w:hint="eastAsia"/>
                <w:sz w:val="21"/>
                <w:szCs w:val="21"/>
                <w:lang w:bidi="ar"/>
              </w:rPr>
              <w:t>33</w:t>
            </w:r>
          </w:p>
        </w:tc>
        <w:tc>
          <w:tcPr>
            <w:tcW w:w="1322" w:type="dxa"/>
            <w:vMerge w:val="continue"/>
            <w:shd w:val="clear" w:color="auto" w:fill="auto"/>
            <w:vAlign w:val="center"/>
          </w:tcPr>
          <w:p w14:paraId="2AFFCA2A">
            <w:pPr>
              <w:widowControl/>
              <w:spacing w:line="240" w:lineRule="auto"/>
              <w:ind w:firstLine="0" w:firstLineChars="0"/>
              <w:jc w:val="center"/>
              <w:rPr>
                <w:rFonts w:hint="eastAsia"/>
                <w:sz w:val="21"/>
                <w:szCs w:val="21"/>
              </w:rPr>
            </w:pPr>
          </w:p>
        </w:tc>
        <w:tc>
          <w:tcPr>
            <w:tcW w:w="1200" w:type="dxa"/>
            <w:vMerge w:val="continue"/>
            <w:shd w:val="clear" w:color="auto" w:fill="auto"/>
            <w:vAlign w:val="center"/>
          </w:tcPr>
          <w:p w14:paraId="57773DC3">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43534724">
            <w:pPr>
              <w:widowControl/>
              <w:spacing w:line="240" w:lineRule="auto"/>
              <w:ind w:firstLine="0" w:firstLineChars="0"/>
              <w:jc w:val="center"/>
              <w:textAlignment w:val="center"/>
              <w:rPr>
                <w:rFonts w:hint="eastAsia"/>
                <w:sz w:val="21"/>
                <w:szCs w:val="21"/>
              </w:rPr>
            </w:pPr>
            <w:r>
              <w:rPr>
                <w:rFonts w:hint="eastAsia"/>
                <w:sz w:val="21"/>
                <w:szCs w:val="21"/>
                <w:lang w:bidi="ar"/>
              </w:rPr>
              <w:t>机构管理</w:t>
            </w:r>
          </w:p>
        </w:tc>
        <w:tc>
          <w:tcPr>
            <w:tcW w:w="4284" w:type="dxa"/>
            <w:shd w:val="clear" w:color="auto" w:fill="auto"/>
            <w:vAlign w:val="center"/>
          </w:tcPr>
          <w:p w14:paraId="42FA28B4">
            <w:pPr>
              <w:widowControl/>
              <w:spacing w:line="240" w:lineRule="auto"/>
              <w:ind w:firstLine="0" w:firstLineChars="0"/>
              <w:textAlignment w:val="center"/>
              <w:rPr>
                <w:rFonts w:hint="eastAsia"/>
                <w:sz w:val="21"/>
                <w:szCs w:val="21"/>
              </w:rPr>
            </w:pPr>
            <w:r>
              <w:rPr>
                <w:rFonts w:hint="eastAsia"/>
                <w:sz w:val="21"/>
                <w:szCs w:val="21"/>
                <w:lang w:bidi="ar"/>
              </w:rPr>
              <w:t>维护企业组织架构的树形部门结构，支持部门增删改查、拖拽排序和状态管理，关联用户归属部门，为数据权限和审批流程提供组织层级支撑。</w:t>
            </w:r>
          </w:p>
        </w:tc>
      </w:tr>
      <w:tr w14:paraId="5573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1EA29B0B">
            <w:pPr>
              <w:widowControl/>
              <w:spacing w:line="240" w:lineRule="auto"/>
              <w:ind w:firstLine="0" w:firstLineChars="0"/>
              <w:jc w:val="center"/>
              <w:textAlignment w:val="center"/>
              <w:rPr>
                <w:rFonts w:hint="eastAsia"/>
                <w:sz w:val="21"/>
                <w:szCs w:val="21"/>
              </w:rPr>
            </w:pPr>
            <w:r>
              <w:rPr>
                <w:rFonts w:hint="eastAsia"/>
                <w:sz w:val="21"/>
                <w:szCs w:val="21"/>
                <w:lang w:bidi="ar"/>
              </w:rPr>
              <w:t>34</w:t>
            </w:r>
          </w:p>
        </w:tc>
        <w:tc>
          <w:tcPr>
            <w:tcW w:w="1322" w:type="dxa"/>
            <w:vMerge w:val="continue"/>
            <w:shd w:val="clear" w:color="auto" w:fill="auto"/>
            <w:vAlign w:val="center"/>
          </w:tcPr>
          <w:p w14:paraId="270312C1">
            <w:pPr>
              <w:widowControl/>
              <w:spacing w:line="240" w:lineRule="auto"/>
              <w:ind w:firstLine="0" w:firstLineChars="0"/>
              <w:jc w:val="center"/>
              <w:rPr>
                <w:rFonts w:hint="eastAsia"/>
                <w:sz w:val="21"/>
                <w:szCs w:val="21"/>
              </w:rPr>
            </w:pPr>
          </w:p>
        </w:tc>
        <w:tc>
          <w:tcPr>
            <w:tcW w:w="1200" w:type="dxa"/>
            <w:vMerge w:val="continue"/>
            <w:shd w:val="clear" w:color="auto" w:fill="auto"/>
            <w:vAlign w:val="center"/>
          </w:tcPr>
          <w:p w14:paraId="4B2F88AD">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40BC0900">
            <w:pPr>
              <w:widowControl/>
              <w:spacing w:line="240" w:lineRule="auto"/>
              <w:ind w:firstLine="0" w:firstLineChars="0"/>
              <w:jc w:val="center"/>
              <w:textAlignment w:val="center"/>
              <w:rPr>
                <w:rFonts w:hint="eastAsia"/>
                <w:sz w:val="21"/>
                <w:szCs w:val="21"/>
              </w:rPr>
            </w:pPr>
            <w:r>
              <w:rPr>
                <w:rFonts w:hint="eastAsia"/>
                <w:sz w:val="21"/>
                <w:szCs w:val="21"/>
                <w:lang w:bidi="ar"/>
              </w:rPr>
              <w:t>岗位管理</w:t>
            </w:r>
          </w:p>
        </w:tc>
        <w:tc>
          <w:tcPr>
            <w:tcW w:w="4284" w:type="dxa"/>
            <w:shd w:val="clear" w:color="auto" w:fill="auto"/>
            <w:vAlign w:val="center"/>
          </w:tcPr>
          <w:p w14:paraId="5CBB3F88">
            <w:pPr>
              <w:widowControl/>
              <w:spacing w:line="240" w:lineRule="auto"/>
              <w:ind w:firstLine="0" w:firstLineChars="0"/>
              <w:textAlignment w:val="center"/>
              <w:rPr>
                <w:rFonts w:hint="eastAsia"/>
                <w:sz w:val="21"/>
                <w:szCs w:val="21"/>
              </w:rPr>
            </w:pPr>
            <w:r>
              <w:rPr>
                <w:rFonts w:hint="eastAsia"/>
                <w:sz w:val="21"/>
                <w:szCs w:val="21"/>
                <w:lang w:bidi="ar"/>
              </w:rPr>
              <w:t>定义职位名称、编码和职级体系，关联用户岗位信息，用于权限模板和业务流程的岗位适配。</w:t>
            </w:r>
          </w:p>
        </w:tc>
      </w:tr>
      <w:tr w14:paraId="06F6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6" w:type="dxa"/>
            <w:shd w:val="clear" w:color="auto" w:fill="auto"/>
            <w:noWrap/>
            <w:vAlign w:val="center"/>
          </w:tcPr>
          <w:p w14:paraId="2B4CF02F">
            <w:pPr>
              <w:widowControl/>
              <w:spacing w:line="240" w:lineRule="auto"/>
              <w:ind w:firstLine="0" w:firstLineChars="0"/>
              <w:jc w:val="center"/>
              <w:textAlignment w:val="center"/>
              <w:rPr>
                <w:rFonts w:hint="eastAsia"/>
                <w:sz w:val="21"/>
                <w:szCs w:val="21"/>
              </w:rPr>
            </w:pPr>
            <w:r>
              <w:rPr>
                <w:rFonts w:hint="eastAsia"/>
                <w:sz w:val="21"/>
                <w:szCs w:val="21"/>
                <w:lang w:bidi="ar"/>
              </w:rPr>
              <w:t>35</w:t>
            </w:r>
          </w:p>
        </w:tc>
        <w:tc>
          <w:tcPr>
            <w:tcW w:w="1322" w:type="dxa"/>
            <w:vMerge w:val="continue"/>
            <w:shd w:val="clear" w:color="auto" w:fill="auto"/>
            <w:vAlign w:val="center"/>
          </w:tcPr>
          <w:p w14:paraId="24EB492D">
            <w:pPr>
              <w:widowControl/>
              <w:spacing w:line="240" w:lineRule="auto"/>
              <w:ind w:firstLine="0" w:firstLineChars="0"/>
              <w:jc w:val="center"/>
              <w:rPr>
                <w:rFonts w:hint="eastAsia"/>
                <w:sz w:val="21"/>
                <w:szCs w:val="21"/>
              </w:rPr>
            </w:pPr>
          </w:p>
        </w:tc>
        <w:tc>
          <w:tcPr>
            <w:tcW w:w="1200" w:type="dxa"/>
            <w:vMerge w:val="continue"/>
            <w:shd w:val="clear" w:color="auto" w:fill="auto"/>
            <w:vAlign w:val="center"/>
          </w:tcPr>
          <w:p w14:paraId="484B5AD1">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46DD13B8">
            <w:pPr>
              <w:widowControl/>
              <w:spacing w:line="240" w:lineRule="auto"/>
              <w:ind w:firstLine="0" w:firstLineChars="0"/>
              <w:jc w:val="center"/>
              <w:textAlignment w:val="center"/>
              <w:rPr>
                <w:rFonts w:hint="eastAsia"/>
                <w:sz w:val="21"/>
                <w:szCs w:val="21"/>
              </w:rPr>
            </w:pPr>
            <w:r>
              <w:rPr>
                <w:rFonts w:hint="eastAsia"/>
                <w:sz w:val="21"/>
                <w:szCs w:val="21"/>
                <w:lang w:bidi="ar"/>
              </w:rPr>
              <w:t>字典管理</w:t>
            </w:r>
          </w:p>
        </w:tc>
        <w:tc>
          <w:tcPr>
            <w:tcW w:w="4284" w:type="dxa"/>
            <w:shd w:val="clear" w:color="auto" w:fill="auto"/>
            <w:vAlign w:val="center"/>
          </w:tcPr>
          <w:p w14:paraId="77909D18">
            <w:pPr>
              <w:widowControl/>
              <w:spacing w:line="240" w:lineRule="auto"/>
              <w:ind w:firstLine="0" w:firstLineChars="0"/>
              <w:textAlignment w:val="center"/>
              <w:rPr>
                <w:rFonts w:hint="eastAsia"/>
                <w:sz w:val="21"/>
                <w:szCs w:val="21"/>
              </w:rPr>
            </w:pPr>
            <w:r>
              <w:rPr>
                <w:rFonts w:hint="eastAsia"/>
                <w:sz w:val="21"/>
                <w:szCs w:val="21"/>
                <w:lang w:bidi="ar"/>
              </w:rPr>
              <w:t>统一管理系统枚举数据（如性别、状态等），支持分类维护和多语言标签，提供字典缓存和前端自动翻译，避免硬编码，提升可维护性。</w:t>
            </w:r>
          </w:p>
        </w:tc>
      </w:tr>
      <w:tr w14:paraId="4C0C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5B06C1F5">
            <w:pPr>
              <w:widowControl/>
              <w:spacing w:line="240" w:lineRule="auto"/>
              <w:ind w:firstLine="0" w:firstLineChars="0"/>
              <w:jc w:val="center"/>
              <w:textAlignment w:val="center"/>
              <w:rPr>
                <w:rFonts w:hint="eastAsia"/>
                <w:sz w:val="21"/>
                <w:szCs w:val="21"/>
              </w:rPr>
            </w:pPr>
            <w:r>
              <w:rPr>
                <w:rFonts w:hint="eastAsia"/>
                <w:sz w:val="21"/>
                <w:szCs w:val="21"/>
                <w:lang w:bidi="ar"/>
              </w:rPr>
              <w:t>36</w:t>
            </w:r>
          </w:p>
        </w:tc>
        <w:tc>
          <w:tcPr>
            <w:tcW w:w="1322" w:type="dxa"/>
            <w:vMerge w:val="continue"/>
            <w:shd w:val="clear" w:color="auto" w:fill="auto"/>
            <w:vAlign w:val="center"/>
          </w:tcPr>
          <w:p w14:paraId="42EC5EB6">
            <w:pPr>
              <w:widowControl/>
              <w:spacing w:line="240" w:lineRule="auto"/>
              <w:ind w:firstLine="0" w:firstLineChars="0"/>
              <w:jc w:val="center"/>
              <w:rPr>
                <w:rFonts w:hint="eastAsia"/>
                <w:sz w:val="21"/>
                <w:szCs w:val="21"/>
              </w:rPr>
            </w:pPr>
          </w:p>
        </w:tc>
        <w:tc>
          <w:tcPr>
            <w:tcW w:w="1200" w:type="dxa"/>
            <w:vMerge w:val="continue"/>
            <w:shd w:val="clear" w:color="auto" w:fill="auto"/>
            <w:vAlign w:val="center"/>
          </w:tcPr>
          <w:p w14:paraId="718CDDBB">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209C14E5">
            <w:pPr>
              <w:widowControl/>
              <w:spacing w:line="240" w:lineRule="auto"/>
              <w:ind w:firstLine="0" w:firstLineChars="0"/>
              <w:jc w:val="center"/>
              <w:textAlignment w:val="center"/>
              <w:rPr>
                <w:rFonts w:hint="eastAsia"/>
                <w:sz w:val="21"/>
                <w:szCs w:val="21"/>
              </w:rPr>
            </w:pPr>
            <w:r>
              <w:rPr>
                <w:rFonts w:hint="eastAsia"/>
                <w:sz w:val="21"/>
                <w:szCs w:val="21"/>
                <w:lang w:bidi="ar"/>
              </w:rPr>
              <w:t>参数设置</w:t>
            </w:r>
          </w:p>
        </w:tc>
        <w:tc>
          <w:tcPr>
            <w:tcW w:w="4284" w:type="dxa"/>
            <w:shd w:val="clear" w:color="auto" w:fill="auto"/>
            <w:vAlign w:val="center"/>
          </w:tcPr>
          <w:p w14:paraId="657A4928">
            <w:pPr>
              <w:widowControl/>
              <w:spacing w:line="240" w:lineRule="auto"/>
              <w:ind w:firstLine="0" w:firstLineChars="0"/>
              <w:textAlignment w:val="center"/>
              <w:rPr>
                <w:rFonts w:hint="eastAsia"/>
                <w:sz w:val="21"/>
                <w:szCs w:val="21"/>
              </w:rPr>
            </w:pPr>
            <w:r>
              <w:rPr>
                <w:rFonts w:hint="eastAsia"/>
                <w:sz w:val="21"/>
                <w:szCs w:val="21"/>
                <w:lang w:bidi="ar"/>
              </w:rPr>
              <w:t>动态配置系统运行参数（如登录策略、超时时间等）提供修改日志追溯。</w:t>
            </w:r>
          </w:p>
        </w:tc>
      </w:tr>
      <w:tr w14:paraId="5780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59F70522">
            <w:pPr>
              <w:widowControl/>
              <w:spacing w:line="240" w:lineRule="auto"/>
              <w:ind w:firstLine="0" w:firstLineChars="0"/>
              <w:jc w:val="center"/>
              <w:textAlignment w:val="center"/>
              <w:rPr>
                <w:rFonts w:hint="eastAsia"/>
                <w:sz w:val="21"/>
                <w:szCs w:val="21"/>
              </w:rPr>
            </w:pPr>
            <w:r>
              <w:rPr>
                <w:rFonts w:hint="eastAsia"/>
                <w:sz w:val="21"/>
                <w:szCs w:val="21"/>
                <w:lang w:bidi="ar"/>
              </w:rPr>
              <w:t>37</w:t>
            </w:r>
          </w:p>
        </w:tc>
        <w:tc>
          <w:tcPr>
            <w:tcW w:w="1322" w:type="dxa"/>
            <w:vMerge w:val="continue"/>
            <w:shd w:val="clear" w:color="auto" w:fill="auto"/>
            <w:vAlign w:val="center"/>
          </w:tcPr>
          <w:p w14:paraId="4305609E">
            <w:pPr>
              <w:widowControl/>
              <w:spacing w:line="240" w:lineRule="auto"/>
              <w:ind w:firstLine="0" w:firstLineChars="0"/>
              <w:jc w:val="center"/>
              <w:rPr>
                <w:rFonts w:hint="eastAsia"/>
                <w:sz w:val="21"/>
                <w:szCs w:val="21"/>
              </w:rPr>
            </w:pPr>
          </w:p>
        </w:tc>
        <w:tc>
          <w:tcPr>
            <w:tcW w:w="1200" w:type="dxa"/>
            <w:vMerge w:val="continue"/>
            <w:shd w:val="clear" w:color="auto" w:fill="auto"/>
            <w:vAlign w:val="center"/>
          </w:tcPr>
          <w:p w14:paraId="71E71BBA">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454D9D55">
            <w:pPr>
              <w:widowControl/>
              <w:spacing w:line="240" w:lineRule="auto"/>
              <w:ind w:firstLine="0" w:firstLineChars="0"/>
              <w:jc w:val="center"/>
              <w:textAlignment w:val="center"/>
              <w:rPr>
                <w:rFonts w:hint="eastAsia"/>
                <w:sz w:val="21"/>
                <w:szCs w:val="21"/>
              </w:rPr>
            </w:pPr>
            <w:r>
              <w:rPr>
                <w:rFonts w:hint="eastAsia"/>
                <w:sz w:val="21"/>
                <w:szCs w:val="21"/>
                <w:lang w:bidi="ar"/>
              </w:rPr>
              <w:t>通知公告</w:t>
            </w:r>
          </w:p>
        </w:tc>
        <w:tc>
          <w:tcPr>
            <w:tcW w:w="4284" w:type="dxa"/>
            <w:shd w:val="clear" w:color="auto" w:fill="auto"/>
            <w:vAlign w:val="center"/>
          </w:tcPr>
          <w:p w14:paraId="17F9BA01">
            <w:pPr>
              <w:widowControl/>
              <w:spacing w:line="240" w:lineRule="auto"/>
              <w:ind w:firstLine="0" w:firstLineChars="0"/>
              <w:textAlignment w:val="center"/>
              <w:rPr>
                <w:rFonts w:hint="eastAsia"/>
                <w:sz w:val="21"/>
                <w:szCs w:val="21"/>
              </w:rPr>
            </w:pPr>
            <w:r>
              <w:rPr>
                <w:rFonts w:hint="eastAsia"/>
                <w:sz w:val="21"/>
                <w:szCs w:val="21"/>
                <w:lang w:bidi="ar"/>
              </w:rPr>
              <w:t>发布企业公告或系统通知，支持富文本编辑、定时发布和阅读状态跟踪，可配置弹窗提醒或邮件推送，确保信息触达目标用户。</w:t>
            </w:r>
          </w:p>
        </w:tc>
      </w:tr>
      <w:tr w14:paraId="55A5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223C0CA7">
            <w:pPr>
              <w:widowControl/>
              <w:spacing w:line="240" w:lineRule="auto"/>
              <w:ind w:firstLine="0" w:firstLineChars="0"/>
              <w:jc w:val="center"/>
              <w:textAlignment w:val="center"/>
              <w:rPr>
                <w:rFonts w:hint="eastAsia"/>
                <w:sz w:val="21"/>
                <w:szCs w:val="21"/>
              </w:rPr>
            </w:pPr>
            <w:r>
              <w:rPr>
                <w:rFonts w:hint="eastAsia"/>
                <w:sz w:val="21"/>
                <w:szCs w:val="21"/>
                <w:lang w:bidi="ar"/>
              </w:rPr>
              <w:t>38</w:t>
            </w:r>
          </w:p>
        </w:tc>
        <w:tc>
          <w:tcPr>
            <w:tcW w:w="1322" w:type="dxa"/>
            <w:vMerge w:val="continue"/>
            <w:shd w:val="clear" w:color="auto" w:fill="auto"/>
            <w:vAlign w:val="center"/>
          </w:tcPr>
          <w:p w14:paraId="7D8DE28F">
            <w:pPr>
              <w:widowControl/>
              <w:spacing w:line="240" w:lineRule="auto"/>
              <w:ind w:firstLine="0" w:firstLineChars="0"/>
              <w:jc w:val="center"/>
              <w:rPr>
                <w:rFonts w:hint="eastAsia"/>
                <w:sz w:val="21"/>
                <w:szCs w:val="21"/>
              </w:rPr>
            </w:pPr>
          </w:p>
        </w:tc>
        <w:tc>
          <w:tcPr>
            <w:tcW w:w="1200" w:type="dxa"/>
            <w:vMerge w:val="continue"/>
            <w:shd w:val="clear" w:color="auto" w:fill="auto"/>
            <w:vAlign w:val="center"/>
          </w:tcPr>
          <w:p w14:paraId="379875C5">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3EA71A84">
            <w:pPr>
              <w:widowControl/>
              <w:spacing w:line="240" w:lineRule="auto"/>
              <w:ind w:firstLine="0" w:firstLineChars="0"/>
              <w:jc w:val="center"/>
              <w:textAlignment w:val="center"/>
              <w:rPr>
                <w:rFonts w:hint="eastAsia"/>
                <w:sz w:val="21"/>
                <w:szCs w:val="21"/>
              </w:rPr>
            </w:pPr>
            <w:r>
              <w:rPr>
                <w:rFonts w:hint="eastAsia"/>
                <w:sz w:val="21"/>
                <w:szCs w:val="21"/>
                <w:lang w:bidi="ar"/>
              </w:rPr>
              <w:t>日志管理</w:t>
            </w:r>
          </w:p>
        </w:tc>
        <w:tc>
          <w:tcPr>
            <w:tcW w:w="4284" w:type="dxa"/>
            <w:shd w:val="clear" w:color="auto" w:fill="auto"/>
            <w:vAlign w:val="center"/>
          </w:tcPr>
          <w:p w14:paraId="7A0CD71C">
            <w:pPr>
              <w:widowControl/>
              <w:spacing w:line="240" w:lineRule="auto"/>
              <w:ind w:firstLine="0" w:firstLineChars="0"/>
              <w:textAlignment w:val="center"/>
              <w:rPr>
                <w:rFonts w:hint="eastAsia"/>
                <w:sz w:val="21"/>
                <w:szCs w:val="21"/>
              </w:rPr>
            </w:pPr>
            <w:r>
              <w:rPr>
                <w:rFonts w:hint="eastAsia"/>
                <w:sz w:val="21"/>
                <w:szCs w:val="21"/>
                <w:lang w:bidi="ar"/>
              </w:rPr>
              <w:t>记录用户操作、登录行为和系统异常，支持日志分类查询、归档和统计分析。</w:t>
            </w:r>
          </w:p>
        </w:tc>
      </w:tr>
      <w:tr w14:paraId="72B0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36" w:type="dxa"/>
            <w:shd w:val="clear" w:color="auto" w:fill="auto"/>
            <w:noWrap/>
            <w:vAlign w:val="center"/>
          </w:tcPr>
          <w:p w14:paraId="58A983D1">
            <w:pPr>
              <w:widowControl/>
              <w:spacing w:line="240" w:lineRule="auto"/>
              <w:ind w:firstLine="0" w:firstLineChars="0"/>
              <w:jc w:val="center"/>
              <w:textAlignment w:val="center"/>
              <w:rPr>
                <w:rFonts w:hint="eastAsia"/>
                <w:sz w:val="21"/>
                <w:szCs w:val="21"/>
              </w:rPr>
            </w:pPr>
            <w:r>
              <w:rPr>
                <w:rFonts w:hint="eastAsia"/>
                <w:sz w:val="21"/>
                <w:szCs w:val="21"/>
                <w:lang w:bidi="ar"/>
              </w:rPr>
              <w:t>39</w:t>
            </w:r>
          </w:p>
        </w:tc>
        <w:tc>
          <w:tcPr>
            <w:tcW w:w="1322" w:type="dxa"/>
            <w:vMerge w:val="restart"/>
            <w:shd w:val="clear" w:color="auto" w:fill="auto"/>
            <w:vAlign w:val="center"/>
          </w:tcPr>
          <w:p w14:paraId="0FE7F1E7">
            <w:pPr>
              <w:widowControl/>
              <w:spacing w:line="240" w:lineRule="auto"/>
              <w:ind w:firstLine="0" w:firstLineChars="0"/>
              <w:jc w:val="center"/>
              <w:textAlignment w:val="center"/>
              <w:rPr>
                <w:rFonts w:hint="eastAsia"/>
                <w:sz w:val="21"/>
                <w:szCs w:val="21"/>
              </w:rPr>
            </w:pPr>
            <w:r>
              <w:rPr>
                <w:rFonts w:hint="eastAsia"/>
                <w:sz w:val="21"/>
                <w:szCs w:val="21"/>
                <w:lang w:bidi="ar"/>
              </w:rPr>
              <w:t>DIP院端运营系统</w:t>
            </w:r>
          </w:p>
        </w:tc>
        <w:tc>
          <w:tcPr>
            <w:tcW w:w="1200" w:type="dxa"/>
            <w:shd w:val="clear" w:color="auto" w:fill="auto"/>
            <w:noWrap/>
            <w:vAlign w:val="center"/>
          </w:tcPr>
          <w:p w14:paraId="33E2E076">
            <w:pPr>
              <w:widowControl/>
              <w:spacing w:line="240" w:lineRule="auto"/>
              <w:ind w:firstLine="0" w:firstLineChars="0"/>
              <w:jc w:val="center"/>
              <w:textAlignment w:val="center"/>
              <w:rPr>
                <w:rFonts w:hint="eastAsia"/>
                <w:sz w:val="21"/>
                <w:szCs w:val="21"/>
              </w:rPr>
            </w:pPr>
            <w:r>
              <w:rPr>
                <w:rFonts w:hint="eastAsia"/>
                <w:sz w:val="21"/>
                <w:szCs w:val="21"/>
                <w:lang w:bidi="ar"/>
              </w:rPr>
              <w:t>DIP运营首页</w:t>
            </w:r>
          </w:p>
        </w:tc>
        <w:tc>
          <w:tcPr>
            <w:tcW w:w="1080" w:type="dxa"/>
            <w:shd w:val="clear" w:color="auto" w:fill="auto"/>
            <w:noWrap/>
            <w:vAlign w:val="center"/>
          </w:tcPr>
          <w:p w14:paraId="3A7900DD">
            <w:pPr>
              <w:widowControl/>
              <w:spacing w:line="240" w:lineRule="auto"/>
              <w:ind w:firstLine="0" w:firstLineChars="0"/>
              <w:jc w:val="center"/>
              <w:textAlignment w:val="center"/>
              <w:rPr>
                <w:rFonts w:hint="eastAsia"/>
                <w:sz w:val="21"/>
                <w:szCs w:val="21"/>
              </w:rPr>
            </w:pPr>
            <w:r>
              <w:rPr>
                <w:rFonts w:hint="eastAsia"/>
                <w:sz w:val="21"/>
                <w:szCs w:val="21"/>
                <w:lang w:bidi="ar"/>
              </w:rPr>
              <w:t>运营首页</w:t>
            </w:r>
          </w:p>
        </w:tc>
        <w:tc>
          <w:tcPr>
            <w:tcW w:w="4284" w:type="dxa"/>
            <w:shd w:val="clear" w:color="auto" w:fill="auto"/>
            <w:vAlign w:val="center"/>
          </w:tcPr>
          <w:p w14:paraId="501DE128">
            <w:pPr>
              <w:widowControl/>
              <w:spacing w:line="240" w:lineRule="auto"/>
              <w:ind w:firstLine="0" w:firstLineChars="0"/>
              <w:textAlignment w:val="center"/>
              <w:rPr>
                <w:rFonts w:hint="eastAsia"/>
                <w:sz w:val="21"/>
                <w:szCs w:val="21"/>
              </w:rPr>
            </w:pPr>
            <w:r>
              <w:rPr>
                <w:rFonts w:hint="eastAsia"/>
                <w:sz w:val="21"/>
                <w:szCs w:val="21"/>
                <w:lang w:bidi="ar"/>
              </w:rPr>
              <w:t>总权重、DIP组数、CMI、时间效率指数、费用效率指数、低风险死亡率等内容展示。DIP医疗总费用、预测结算总费用、实际结算总费用、预测盈亏、等内容及各项的同比、环比情况。</w:t>
            </w:r>
          </w:p>
        </w:tc>
      </w:tr>
      <w:tr w14:paraId="374A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01E2C326">
            <w:pPr>
              <w:widowControl/>
              <w:spacing w:line="240" w:lineRule="auto"/>
              <w:ind w:firstLine="0" w:firstLineChars="0"/>
              <w:jc w:val="center"/>
              <w:textAlignment w:val="center"/>
              <w:rPr>
                <w:rFonts w:hint="eastAsia"/>
                <w:sz w:val="21"/>
                <w:szCs w:val="21"/>
              </w:rPr>
            </w:pPr>
            <w:r>
              <w:rPr>
                <w:rFonts w:hint="eastAsia"/>
                <w:sz w:val="21"/>
                <w:szCs w:val="21"/>
                <w:lang w:bidi="ar"/>
              </w:rPr>
              <w:t>40</w:t>
            </w:r>
          </w:p>
        </w:tc>
        <w:tc>
          <w:tcPr>
            <w:tcW w:w="1322" w:type="dxa"/>
            <w:vMerge w:val="continue"/>
            <w:shd w:val="clear" w:color="auto" w:fill="auto"/>
            <w:vAlign w:val="center"/>
          </w:tcPr>
          <w:p w14:paraId="2F5DAC95">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342CE6E3">
            <w:pPr>
              <w:widowControl/>
              <w:spacing w:line="240" w:lineRule="auto"/>
              <w:ind w:firstLine="0" w:firstLineChars="0"/>
              <w:jc w:val="center"/>
              <w:textAlignment w:val="center"/>
              <w:rPr>
                <w:rFonts w:hint="eastAsia"/>
                <w:sz w:val="21"/>
                <w:szCs w:val="21"/>
              </w:rPr>
            </w:pPr>
            <w:r>
              <w:rPr>
                <w:rFonts w:hint="eastAsia"/>
                <w:sz w:val="21"/>
                <w:szCs w:val="21"/>
                <w:lang w:bidi="ar"/>
              </w:rPr>
              <w:t>DIP盈亏分析</w:t>
            </w:r>
          </w:p>
        </w:tc>
        <w:tc>
          <w:tcPr>
            <w:tcW w:w="1080" w:type="dxa"/>
            <w:shd w:val="clear" w:color="auto" w:fill="auto"/>
            <w:noWrap/>
            <w:vAlign w:val="center"/>
          </w:tcPr>
          <w:p w14:paraId="146C84C1">
            <w:pPr>
              <w:widowControl/>
              <w:spacing w:line="240" w:lineRule="auto"/>
              <w:ind w:firstLine="0" w:firstLineChars="0"/>
              <w:jc w:val="center"/>
              <w:textAlignment w:val="center"/>
              <w:rPr>
                <w:rFonts w:hint="eastAsia"/>
                <w:sz w:val="21"/>
                <w:szCs w:val="21"/>
              </w:rPr>
            </w:pPr>
            <w:r>
              <w:rPr>
                <w:rFonts w:hint="eastAsia"/>
                <w:sz w:val="21"/>
                <w:szCs w:val="21"/>
                <w:lang w:bidi="ar"/>
              </w:rPr>
              <w:t>医生组盈亏分析</w:t>
            </w:r>
          </w:p>
        </w:tc>
        <w:tc>
          <w:tcPr>
            <w:tcW w:w="4284" w:type="dxa"/>
            <w:shd w:val="clear" w:color="auto" w:fill="auto"/>
            <w:vAlign w:val="center"/>
          </w:tcPr>
          <w:p w14:paraId="4852734B">
            <w:pPr>
              <w:widowControl/>
              <w:spacing w:line="240" w:lineRule="auto"/>
              <w:ind w:firstLine="0" w:firstLineChars="0"/>
              <w:textAlignment w:val="center"/>
              <w:rPr>
                <w:rFonts w:hint="eastAsia"/>
                <w:sz w:val="21"/>
                <w:szCs w:val="21"/>
              </w:rPr>
            </w:pPr>
            <w:r>
              <w:rPr>
                <w:rFonts w:hint="eastAsia"/>
                <w:sz w:val="21"/>
                <w:szCs w:val="21"/>
                <w:lang w:bidi="ar"/>
              </w:rPr>
              <w:t>系统能够在指定时间范围内，查询医生组盈亏情况，支持图表和表格形式展示。</w:t>
            </w:r>
          </w:p>
        </w:tc>
      </w:tr>
      <w:tr w14:paraId="6CF2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4A4C6BC3">
            <w:pPr>
              <w:widowControl/>
              <w:spacing w:line="240" w:lineRule="auto"/>
              <w:ind w:firstLine="0" w:firstLineChars="0"/>
              <w:jc w:val="center"/>
              <w:textAlignment w:val="center"/>
              <w:rPr>
                <w:rFonts w:hint="eastAsia"/>
                <w:sz w:val="21"/>
                <w:szCs w:val="21"/>
              </w:rPr>
            </w:pPr>
            <w:r>
              <w:rPr>
                <w:rFonts w:hint="eastAsia"/>
                <w:sz w:val="21"/>
                <w:szCs w:val="21"/>
                <w:lang w:bidi="ar"/>
              </w:rPr>
              <w:t>41</w:t>
            </w:r>
          </w:p>
        </w:tc>
        <w:tc>
          <w:tcPr>
            <w:tcW w:w="1322" w:type="dxa"/>
            <w:vMerge w:val="continue"/>
            <w:shd w:val="clear" w:color="auto" w:fill="auto"/>
            <w:vAlign w:val="center"/>
          </w:tcPr>
          <w:p w14:paraId="3EF169F6">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00BA8D49">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6D1FFBE9">
            <w:pPr>
              <w:widowControl/>
              <w:spacing w:line="240" w:lineRule="auto"/>
              <w:ind w:firstLine="0" w:firstLineChars="0"/>
              <w:jc w:val="center"/>
              <w:textAlignment w:val="center"/>
              <w:rPr>
                <w:rFonts w:hint="eastAsia"/>
                <w:sz w:val="21"/>
                <w:szCs w:val="21"/>
              </w:rPr>
            </w:pPr>
            <w:r>
              <w:rPr>
                <w:rFonts w:hint="eastAsia"/>
                <w:sz w:val="21"/>
                <w:szCs w:val="21"/>
                <w:lang w:bidi="ar"/>
              </w:rPr>
              <w:t>出院病例盈亏分析</w:t>
            </w:r>
          </w:p>
        </w:tc>
        <w:tc>
          <w:tcPr>
            <w:tcW w:w="4284" w:type="dxa"/>
            <w:shd w:val="clear" w:color="auto" w:fill="auto"/>
            <w:vAlign w:val="center"/>
          </w:tcPr>
          <w:p w14:paraId="0EAE9ADB">
            <w:pPr>
              <w:widowControl/>
              <w:spacing w:line="240" w:lineRule="auto"/>
              <w:ind w:firstLine="0" w:firstLineChars="0"/>
              <w:textAlignment w:val="center"/>
              <w:rPr>
                <w:rFonts w:hint="eastAsia"/>
                <w:sz w:val="21"/>
                <w:szCs w:val="21"/>
              </w:rPr>
            </w:pPr>
            <w:r>
              <w:rPr>
                <w:rFonts w:hint="eastAsia"/>
                <w:sz w:val="21"/>
                <w:szCs w:val="21"/>
                <w:lang w:bidi="ar"/>
              </w:rPr>
              <w:t>系统能够在指定时间范围内，查询出院病例盈亏情况，支持图表和表格形式展示。</w:t>
            </w:r>
          </w:p>
        </w:tc>
      </w:tr>
      <w:tr w14:paraId="106F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431ADBD6">
            <w:pPr>
              <w:widowControl/>
              <w:spacing w:line="240" w:lineRule="auto"/>
              <w:ind w:firstLine="0" w:firstLineChars="0"/>
              <w:jc w:val="center"/>
              <w:textAlignment w:val="center"/>
              <w:rPr>
                <w:rFonts w:hint="eastAsia"/>
                <w:sz w:val="21"/>
                <w:szCs w:val="21"/>
              </w:rPr>
            </w:pPr>
            <w:r>
              <w:rPr>
                <w:rFonts w:hint="eastAsia"/>
                <w:sz w:val="21"/>
                <w:szCs w:val="21"/>
                <w:lang w:bidi="ar"/>
              </w:rPr>
              <w:t>42</w:t>
            </w:r>
          </w:p>
        </w:tc>
        <w:tc>
          <w:tcPr>
            <w:tcW w:w="1322" w:type="dxa"/>
            <w:vMerge w:val="continue"/>
            <w:shd w:val="clear" w:color="auto" w:fill="auto"/>
            <w:vAlign w:val="center"/>
          </w:tcPr>
          <w:p w14:paraId="769D7466">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0EEDF385">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08F53E55">
            <w:pPr>
              <w:widowControl/>
              <w:spacing w:line="240" w:lineRule="auto"/>
              <w:ind w:firstLine="0" w:firstLineChars="0"/>
              <w:jc w:val="center"/>
              <w:textAlignment w:val="center"/>
              <w:rPr>
                <w:rFonts w:hint="eastAsia"/>
                <w:sz w:val="21"/>
                <w:szCs w:val="21"/>
              </w:rPr>
            </w:pPr>
            <w:r>
              <w:rPr>
                <w:rFonts w:hint="eastAsia"/>
                <w:sz w:val="21"/>
                <w:szCs w:val="21"/>
                <w:lang w:bidi="ar"/>
              </w:rPr>
              <w:t>科室结算盈亏分析</w:t>
            </w:r>
          </w:p>
        </w:tc>
        <w:tc>
          <w:tcPr>
            <w:tcW w:w="4284" w:type="dxa"/>
            <w:shd w:val="clear" w:color="auto" w:fill="auto"/>
            <w:vAlign w:val="center"/>
          </w:tcPr>
          <w:p w14:paraId="65150309">
            <w:pPr>
              <w:widowControl/>
              <w:spacing w:line="240" w:lineRule="auto"/>
              <w:ind w:firstLine="0" w:firstLineChars="0"/>
              <w:textAlignment w:val="center"/>
              <w:rPr>
                <w:rFonts w:hint="eastAsia"/>
                <w:sz w:val="21"/>
                <w:szCs w:val="21"/>
              </w:rPr>
            </w:pPr>
            <w:r>
              <w:rPr>
                <w:rFonts w:hint="eastAsia"/>
                <w:sz w:val="21"/>
                <w:szCs w:val="21"/>
                <w:lang w:bidi="ar"/>
              </w:rPr>
              <w:t>系统能够在指定时间范围内，查询科室结算盈亏情况，支持图表和表格形式展示。</w:t>
            </w:r>
          </w:p>
        </w:tc>
      </w:tr>
      <w:tr w14:paraId="413A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10EC07D8">
            <w:pPr>
              <w:widowControl/>
              <w:spacing w:line="240" w:lineRule="auto"/>
              <w:ind w:firstLine="0" w:firstLineChars="0"/>
              <w:jc w:val="center"/>
              <w:textAlignment w:val="center"/>
              <w:rPr>
                <w:rFonts w:hint="eastAsia"/>
                <w:sz w:val="21"/>
                <w:szCs w:val="21"/>
              </w:rPr>
            </w:pPr>
            <w:r>
              <w:rPr>
                <w:rFonts w:hint="eastAsia"/>
                <w:sz w:val="21"/>
                <w:szCs w:val="21"/>
                <w:lang w:bidi="ar"/>
              </w:rPr>
              <w:t>43</w:t>
            </w:r>
          </w:p>
        </w:tc>
        <w:tc>
          <w:tcPr>
            <w:tcW w:w="1322" w:type="dxa"/>
            <w:vMerge w:val="continue"/>
            <w:shd w:val="clear" w:color="auto" w:fill="auto"/>
            <w:vAlign w:val="center"/>
          </w:tcPr>
          <w:p w14:paraId="724CA876">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6725B36F">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0DEB5B26">
            <w:pPr>
              <w:widowControl/>
              <w:spacing w:line="240" w:lineRule="auto"/>
              <w:ind w:firstLine="0" w:firstLineChars="0"/>
              <w:jc w:val="center"/>
              <w:textAlignment w:val="center"/>
              <w:rPr>
                <w:rFonts w:hint="eastAsia"/>
                <w:sz w:val="21"/>
                <w:szCs w:val="21"/>
              </w:rPr>
            </w:pPr>
            <w:r>
              <w:rPr>
                <w:rFonts w:hint="eastAsia"/>
                <w:sz w:val="21"/>
                <w:szCs w:val="21"/>
                <w:lang w:bidi="ar"/>
              </w:rPr>
              <w:t>DIP病组盈亏分析</w:t>
            </w:r>
          </w:p>
        </w:tc>
        <w:tc>
          <w:tcPr>
            <w:tcW w:w="4284" w:type="dxa"/>
            <w:shd w:val="clear" w:color="auto" w:fill="auto"/>
            <w:vAlign w:val="center"/>
          </w:tcPr>
          <w:p w14:paraId="18CB49B3">
            <w:pPr>
              <w:widowControl/>
              <w:spacing w:line="240" w:lineRule="auto"/>
              <w:ind w:firstLine="0" w:firstLineChars="0"/>
              <w:textAlignment w:val="center"/>
              <w:rPr>
                <w:rFonts w:hint="eastAsia"/>
                <w:sz w:val="21"/>
                <w:szCs w:val="21"/>
              </w:rPr>
            </w:pPr>
            <w:r>
              <w:rPr>
                <w:rFonts w:hint="eastAsia"/>
                <w:sz w:val="21"/>
                <w:szCs w:val="21"/>
                <w:lang w:bidi="ar"/>
              </w:rPr>
              <w:t>系统能够在指定时间范围内，查询DIP病组盈亏情况，支持图表和表格形式展示。</w:t>
            </w:r>
          </w:p>
        </w:tc>
      </w:tr>
      <w:tr w14:paraId="3851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34595561">
            <w:pPr>
              <w:widowControl/>
              <w:spacing w:line="240" w:lineRule="auto"/>
              <w:ind w:firstLine="0" w:firstLineChars="0"/>
              <w:jc w:val="center"/>
              <w:textAlignment w:val="center"/>
              <w:rPr>
                <w:rFonts w:hint="eastAsia"/>
                <w:sz w:val="21"/>
                <w:szCs w:val="21"/>
              </w:rPr>
            </w:pPr>
            <w:r>
              <w:rPr>
                <w:rFonts w:hint="eastAsia"/>
                <w:sz w:val="21"/>
                <w:szCs w:val="21"/>
                <w:lang w:bidi="ar"/>
              </w:rPr>
              <w:t>44</w:t>
            </w:r>
          </w:p>
        </w:tc>
        <w:tc>
          <w:tcPr>
            <w:tcW w:w="1322" w:type="dxa"/>
            <w:vMerge w:val="continue"/>
            <w:shd w:val="clear" w:color="auto" w:fill="auto"/>
            <w:vAlign w:val="center"/>
          </w:tcPr>
          <w:p w14:paraId="674E8639">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3116AEA0">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57EE5D72">
            <w:pPr>
              <w:widowControl/>
              <w:spacing w:line="240" w:lineRule="auto"/>
              <w:ind w:firstLine="0" w:firstLineChars="0"/>
              <w:jc w:val="center"/>
              <w:textAlignment w:val="center"/>
              <w:rPr>
                <w:rFonts w:hint="eastAsia"/>
                <w:sz w:val="21"/>
                <w:szCs w:val="21"/>
              </w:rPr>
            </w:pPr>
            <w:r>
              <w:rPr>
                <w:rFonts w:hint="eastAsia"/>
                <w:sz w:val="21"/>
                <w:szCs w:val="21"/>
                <w:lang w:bidi="ar"/>
              </w:rPr>
              <w:t>病例类型盈亏分析</w:t>
            </w:r>
          </w:p>
        </w:tc>
        <w:tc>
          <w:tcPr>
            <w:tcW w:w="4284" w:type="dxa"/>
            <w:shd w:val="clear" w:color="auto" w:fill="auto"/>
            <w:vAlign w:val="center"/>
          </w:tcPr>
          <w:p w14:paraId="52CD563B">
            <w:pPr>
              <w:widowControl/>
              <w:spacing w:line="240" w:lineRule="auto"/>
              <w:ind w:firstLine="0" w:firstLineChars="0"/>
              <w:textAlignment w:val="center"/>
              <w:rPr>
                <w:rFonts w:hint="eastAsia"/>
                <w:sz w:val="21"/>
                <w:szCs w:val="21"/>
              </w:rPr>
            </w:pPr>
            <w:r>
              <w:rPr>
                <w:rFonts w:hint="eastAsia"/>
                <w:sz w:val="21"/>
                <w:szCs w:val="21"/>
                <w:lang w:bidi="ar"/>
              </w:rPr>
              <w:t>系统能够在指定时间范围内，查询病例结算类型盈亏情况，支持图表和表格形式展示。</w:t>
            </w:r>
          </w:p>
        </w:tc>
      </w:tr>
      <w:tr w14:paraId="1872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2B941075">
            <w:pPr>
              <w:widowControl/>
              <w:spacing w:line="240" w:lineRule="auto"/>
              <w:ind w:firstLine="0" w:firstLineChars="0"/>
              <w:jc w:val="center"/>
              <w:textAlignment w:val="center"/>
              <w:rPr>
                <w:rFonts w:hint="eastAsia"/>
                <w:sz w:val="21"/>
                <w:szCs w:val="21"/>
              </w:rPr>
            </w:pPr>
            <w:r>
              <w:rPr>
                <w:rFonts w:hint="eastAsia"/>
                <w:sz w:val="21"/>
                <w:szCs w:val="21"/>
                <w:lang w:bidi="ar"/>
              </w:rPr>
              <w:t>45</w:t>
            </w:r>
          </w:p>
        </w:tc>
        <w:tc>
          <w:tcPr>
            <w:tcW w:w="1322" w:type="dxa"/>
            <w:vMerge w:val="continue"/>
            <w:shd w:val="clear" w:color="auto" w:fill="auto"/>
            <w:vAlign w:val="center"/>
          </w:tcPr>
          <w:p w14:paraId="6C72AD5D">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59CCF353">
            <w:pPr>
              <w:widowControl/>
              <w:spacing w:line="240" w:lineRule="auto"/>
              <w:ind w:firstLine="0" w:firstLineChars="0"/>
              <w:jc w:val="center"/>
              <w:textAlignment w:val="center"/>
              <w:rPr>
                <w:rFonts w:hint="eastAsia"/>
                <w:sz w:val="21"/>
                <w:szCs w:val="21"/>
              </w:rPr>
            </w:pPr>
            <w:r>
              <w:rPr>
                <w:rFonts w:hint="eastAsia"/>
                <w:sz w:val="21"/>
                <w:szCs w:val="21"/>
                <w:lang w:bidi="ar"/>
              </w:rPr>
              <w:t>DIP运营分析</w:t>
            </w:r>
          </w:p>
        </w:tc>
        <w:tc>
          <w:tcPr>
            <w:tcW w:w="1080" w:type="dxa"/>
            <w:shd w:val="clear" w:color="auto" w:fill="auto"/>
            <w:noWrap/>
            <w:vAlign w:val="center"/>
          </w:tcPr>
          <w:p w14:paraId="5A0DFF92">
            <w:pPr>
              <w:widowControl/>
              <w:spacing w:line="240" w:lineRule="auto"/>
              <w:ind w:firstLine="0" w:firstLineChars="0"/>
              <w:jc w:val="center"/>
              <w:textAlignment w:val="center"/>
              <w:rPr>
                <w:rFonts w:hint="eastAsia"/>
                <w:sz w:val="21"/>
                <w:szCs w:val="21"/>
              </w:rPr>
            </w:pPr>
            <w:r>
              <w:rPr>
                <w:rFonts w:hint="eastAsia"/>
                <w:sz w:val="21"/>
                <w:szCs w:val="21"/>
                <w:lang w:bidi="ar"/>
              </w:rPr>
              <w:t>费用分析</w:t>
            </w:r>
          </w:p>
        </w:tc>
        <w:tc>
          <w:tcPr>
            <w:tcW w:w="4284" w:type="dxa"/>
            <w:shd w:val="clear" w:color="auto" w:fill="auto"/>
            <w:vAlign w:val="center"/>
          </w:tcPr>
          <w:p w14:paraId="24FCD47E">
            <w:pPr>
              <w:widowControl/>
              <w:spacing w:line="240" w:lineRule="auto"/>
              <w:ind w:firstLine="0" w:firstLineChars="0"/>
              <w:textAlignment w:val="center"/>
              <w:rPr>
                <w:rFonts w:hint="eastAsia"/>
                <w:sz w:val="21"/>
                <w:szCs w:val="21"/>
              </w:rPr>
            </w:pPr>
            <w:r>
              <w:rPr>
                <w:rFonts w:hint="eastAsia"/>
                <w:sz w:val="21"/>
                <w:szCs w:val="21"/>
                <w:lang w:bidi="ar"/>
              </w:rPr>
              <w:t>总费用，平均住院费用，药占比，耗材占比同比环比趋势（暂时不做）</w:t>
            </w:r>
          </w:p>
        </w:tc>
      </w:tr>
      <w:tr w14:paraId="386C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619C1272">
            <w:pPr>
              <w:widowControl/>
              <w:spacing w:line="240" w:lineRule="auto"/>
              <w:ind w:firstLine="0" w:firstLineChars="0"/>
              <w:jc w:val="center"/>
              <w:textAlignment w:val="center"/>
              <w:rPr>
                <w:rFonts w:hint="eastAsia"/>
                <w:sz w:val="21"/>
                <w:szCs w:val="21"/>
              </w:rPr>
            </w:pPr>
            <w:r>
              <w:rPr>
                <w:rFonts w:hint="eastAsia"/>
                <w:sz w:val="21"/>
                <w:szCs w:val="21"/>
                <w:lang w:bidi="ar"/>
              </w:rPr>
              <w:t>46</w:t>
            </w:r>
          </w:p>
        </w:tc>
        <w:tc>
          <w:tcPr>
            <w:tcW w:w="1322" w:type="dxa"/>
            <w:vMerge w:val="continue"/>
            <w:shd w:val="clear" w:color="auto" w:fill="auto"/>
            <w:vAlign w:val="center"/>
          </w:tcPr>
          <w:p w14:paraId="3B5B6D1D">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111032B3">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24D74374">
            <w:pPr>
              <w:widowControl/>
              <w:spacing w:line="240" w:lineRule="auto"/>
              <w:ind w:firstLine="0" w:firstLineChars="0"/>
              <w:jc w:val="center"/>
              <w:textAlignment w:val="center"/>
              <w:rPr>
                <w:rFonts w:hint="eastAsia"/>
                <w:sz w:val="21"/>
                <w:szCs w:val="21"/>
              </w:rPr>
            </w:pPr>
            <w:r>
              <w:rPr>
                <w:rFonts w:hint="eastAsia"/>
                <w:sz w:val="21"/>
                <w:szCs w:val="21"/>
                <w:lang w:bidi="ar"/>
              </w:rPr>
              <w:t>科室运营分析</w:t>
            </w:r>
          </w:p>
        </w:tc>
        <w:tc>
          <w:tcPr>
            <w:tcW w:w="4284" w:type="dxa"/>
            <w:shd w:val="clear" w:color="auto" w:fill="auto"/>
            <w:vAlign w:val="center"/>
          </w:tcPr>
          <w:p w14:paraId="628D39EA">
            <w:pPr>
              <w:widowControl/>
              <w:spacing w:line="240" w:lineRule="auto"/>
              <w:ind w:firstLine="0" w:firstLineChars="0"/>
              <w:textAlignment w:val="center"/>
              <w:rPr>
                <w:rFonts w:hint="eastAsia"/>
                <w:sz w:val="21"/>
                <w:szCs w:val="21"/>
              </w:rPr>
            </w:pPr>
            <w:r>
              <w:rPr>
                <w:rFonts w:hint="eastAsia"/>
                <w:sz w:val="21"/>
                <w:szCs w:val="21"/>
                <w:lang w:bidi="ar"/>
              </w:rPr>
              <w:t>系统能够根据出院时间，自动统计科室运营情况，并支持图表和表格形式展示。</w:t>
            </w:r>
          </w:p>
        </w:tc>
      </w:tr>
      <w:tr w14:paraId="070D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3EAFE23B">
            <w:pPr>
              <w:widowControl/>
              <w:spacing w:line="240" w:lineRule="auto"/>
              <w:ind w:firstLine="0" w:firstLineChars="0"/>
              <w:jc w:val="center"/>
              <w:textAlignment w:val="center"/>
              <w:rPr>
                <w:rFonts w:hint="eastAsia"/>
                <w:sz w:val="21"/>
                <w:szCs w:val="21"/>
              </w:rPr>
            </w:pPr>
            <w:r>
              <w:rPr>
                <w:rFonts w:hint="eastAsia"/>
                <w:sz w:val="21"/>
                <w:szCs w:val="21"/>
                <w:lang w:bidi="ar"/>
              </w:rPr>
              <w:t>47</w:t>
            </w:r>
          </w:p>
        </w:tc>
        <w:tc>
          <w:tcPr>
            <w:tcW w:w="1322" w:type="dxa"/>
            <w:vMerge w:val="continue"/>
            <w:shd w:val="clear" w:color="auto" w:fill="auto"/>
            <w:vAlign w:val="center"/>
          </w:tcPr>
          <w:p w14:paraId="47BA9B2E">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03CAA31F">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6701434B">
            <w:pPr>
              <w:widowControl/>
              <w:spacing w:line="240" w:lineRule="auto"/>
              <w:ind w:firstLine="0" w:firstLineChars="0"/>
              <w:jc w:val="center"/>
              <w:textAlignment w:val="center"/>
              <w:rPr>
                <w:rFonts w:hint="eastAsia"/>
                <w:sz w:val="21"/>
                <w:szCs w:val="21"/>
              </w:rPr>
            </w:pPr>
            <w:r>
              <w:rPr>
                <w:rFonts w:hint="eastAsia"/>
                <w:sz w:val="21"/>
                <w:szCs w:val="21"/>
                <w:lang w:bidi="ar"/>
              </w:rPr>
              <w:t>医生组运营分析</w:t>
            </w:r>
          </w:p>
        </w:tc>
        <w:tc>
          <w:tcPr>
            <w:tcW w:w="4284" w:type="dxa"/>
            <w:shd w:val="clear" w:color="auto" w:fill="auto"/>
            <w:vAlign w:val="center"/>
          </w:tcPr>
          <w:p w14:paraId="1AB5FCA2">
            <w:pPr>
              <w:widowControl/>
              <w:spacing w:line="240" w:lineRule="auto"/>
              <w:ind w:firstLine="0" w:firstLineChars="0"/>
              <w:textAlignment w:val="center"/>
              <w:rPr>
                <w:rFonts w:hint="eastAsia"/>
                <w:sz w:val="21"/>
                <w:szCs w:val="21"/>
              </w:rPr>
            </w:pPr>
            <w:r>
              <w:rPr>
                <w:rFonts w:hint="eastAsia"/>
                <w:sz w:val="21"/>
                <w:szCs w:val="21"/>
                <w:lang w:bidi="ar"/>
              </w:rPr>
              <w:t>系统能够根据出院时间，自动统计医生组运营情况，并支持图表和表格形式展示。</w:t>
            </w:r>
          </w:p>
        </w:tc>
      </w:tr>
      <w:tr w14:paraId="6496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57FC5750">
            <w:pPr>
              <w:widowControl/>
              <w:spacing w:line="240" w:lineRule="auto"/>
              <w:ind w:firstLine="0" w:firstLineChars="0"/>
              <w:jc w:val="center"/>
              <w:textAlignment w:val="center"/>
              <w:rPr>
                <w:rFonts w:hint="eastAsia"/>
                <w:sz w:val="21"/>
                <w:szCs w:val="21"/>
              </w:rPr>
            </w:pPr>
            <w:r>
              <w:rPr>
                <w:rFonts w:hint="eastAsia"/>
                <w:sz w:val="21"/>
                <w:szCs w:val="21"/>
                <w:lang w:bidi="ar"/>
              </w:rPr>
              <w:t>48</w:t>
            </w:r>
          </w:p>
        </w:tc>
        <w:tc>
          <w:tcPr>
            <w:tcW w:w="1322" w:type="dxa"/>
            <w:vMerge w:val="continue"/>
            <w:shd w:val="clear" w:color="auto" w:fill="auto"/>
            <w:vAlign w:val="center"/>
          </w:tcPr>
          <w:p w14:paraId="6AEB4651">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4A7EDCE0">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29305C7E">
            <w:pPr>
              <w:widowControl/>
              <w:spacing w:line="240" w:lineRule="auto"/>
              <w:ind w:firstLine="0" w:firstLineChars="0"/>
              <w:jc w:val="center"/>
              <w:textAlignment w:val="center"/>
              <w:rPr>
                <w:rFonts w:hint="eastAsia"/>
                <w:sz w:val="21"/>
                <w:szCs w:val="21"/>
              </w:rPr>
            </w:pPr>
            <w:r>
              <w:rPr>
                <w:rFonts w:hint="eastAsia"/>
                <w:sz w:val="21"/>
                <w:szCs w:val="21"/>
                <w:lang w:bidi="ar"/>
              </w:rPr>
              <w:t>病组运营分析</w:t>
            </w:r>
          </w:p>
        </w:tc>
        <w:tc>
          <w:tcPr>
            <w:tcW w:w="4284" w:type="dxa"/>
            <w:shd w:val="clear" w:color="auto" w:fill="auto"/>
            <w:vAlign w:val="center"/>
          </w:tcPr>
          <w:p w14:paraId="749715FB">
            <w:pPr>
              <w:widowControl/>
              <w:spacing w:line="240" w:lineRule="auto"/>
              <w:ind w:firstLine="0" w:firstLineChars="0"/>
              <w:textAlignment w:val="center"/>
              <w:rPr>
                <w:rFonts w:hint="eastAsia"/>
                <w:sz w:val="21"/>
                <w:szCs w:val="21"/>
              </w:rPr>
            </w:pPr>
            <w:r>
              <w:rPr>
                <w:rFonts w:hint="eastAsia"/>
                <w:sz w:val="21"/>
                <w:szCs w:val="21"/>
                <w:lang w:bidi="ar"/>
              </w:rPr>
              <w:t>系统能够根据出院时间，自动统计病组运营情况，并支持图表和表格形式展示。</w:t>
            </w:r>
          </w:p>
        </w:tc>
      </w:tr>
      <w:tr w14:paraId="5E34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36" w:type="dxa"/>
            <w:shd w:val="clear" w:color="auto" w:fill="auto"/>
            <w:noWrap/>
            <w:vAlign w:val="center"/>
          </w:tcPr>
          <w:p w14:paraId="07708DA7">
            <w:pPr>
              <w:widowControl/>
              <w:spacing w:line="240" w:lineRule="auto"/>
              <w:ind w:firstLine="0" w:firstLineChars="0"/>
              <w:jc w:val="center"/>
              <w:textAlignment w:val="center"/>
              <w:rPr>
                <w:rFonts w:hint="eastAsia"/>
                <w:sz w:val="21"/>
                <w:szCs w:val="21"/>
              </w:rPr>
            </w:pPr>
            <w:r>
              <w:rPr>
                <w:rFonts w:hint="eastAsia"/>
                <w:sz w:val="21"/>
                <w:szCs w:val="21"/>
                <w:lang w:bidi="ar"/>
              </w:rPr>
              <w:t>49</w:t>
            </w:r>
          </w:p>
        </w:tc>
        <w:tc>
          <w:tcPr>
            <w:tcW w:w="1322" w:type="dxa"/>
            <w:vMerge w:val="continue"/>
            <w:shd w:val="clear" w:color="auto" w:fill="auto"/>
            <w:vAlign w:val="center"/>
          </w:tcPr>
          <w:p w14:paraId="161AD647">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4499C982">
            <w:pPr>
              <w:widowControl/>
              <w:spacing w:line="240" w:lineRule="auto"/>
              <w:ind w:firstLine="0" w:firstLineChars="0"/>
              <w:jc w:val="center"/>
              <w:textAlignment w:val="center"/>
              <w:rPr>
                <w:rFonts w:hint="eastAsia"/>
                <w:sz w:val="21"/>
                <w:szCs w:val="21"/>
              </w:rPr>
            </w:pPr>
            <w:r>
              <w:rPr>
                <w:rFonts w:hint="eastAsia"/>
                <w:sz w:val="21"/>
                <w:szCs w:val="21"/>
                <w:lang w:bidi="ar"/>
              </w:rPr>
              <w:t>服务效率分析</w:t>
            </w:r>
          </w:p>
        </w:tc>
        <w:tc>
          <w:tcPr>
            <w:tcW w:w="1080" w:type="dxa"/>
            <w:shd w:val="clear" w:color="auto" w:fill="auto"/>
            <w:noWrap/>
            <w:vAlign w:val="center"/>
          </w:tcPr>
          <w:p w14:paraId="4FD4B629">
            <w:pPr>
              <w:widowControl/>
              <w:spacing w:line="240" w:lineRule="auto"/>
              <w:ind w:firstLine="0" w:firstLineChars="0"/>
              <w:jc w:val="center"/>
              <w:textAlignment w:val="center"/>
              <w:rPr>
                <w:rFonts w:hint="eastAsia"/>
                <w:sz w:val="21"/>
                <w:szCs w:val="21"/>
              </w:rPr>
            </w:pPr>
            <w:r>
              <w:rPr>
                <w:rFonts w:hint="eastAsia"/>
                <w:color w:val="000000"/>
                <w:sz w:val="21"/>
                <w:szCs w:val="21"/>
                <w:lang w:bidi="ar"/>
              </w:rPr>
              <w:t>服务效率分析</w:t>
            </w:r>
          </w:p>
        </w:tc>
        <w:tc>
          <w:tcPr>
            <w:tcW w:w="4284" w:type="dxa"/>
            <w:shd w:val="clear" w:color="auto" w:fill="auto"/>
            <w:vAlign w:val="center"/>
          </w:tcPr>
          <w:p w14:paraId="6B9D0B06">
            <w:pPr>
              <w:widowControl/>
              <w:spacing w:line="240" w:lineRule="auto"/>
              <w:ind w:firstLine="0" w:firstLineChars="0"/>
              <w:textAlignment w:val="center"/>
              <w:rPr>
                <w:rFonts w:hint="eastAsia"/>
                <w:color w:val="000000"/>
                <w:sz w:val="21"/>
                <w:szCs w:val="21"/>
              </w:rPr>
            </w:pPr>
            <w:r>
              <w:rPr>
                <w:rFonts w:hint="eastAsia"/>
                <w:color w:val="000000"/>
                <w:sz w:val="21"/>
                <w:szCs w:val="21"/>
                <w:lang w:bidi="ar"/>
              </w:rPr>
              <w:t>持气泡图形式展示时间消耗指数、费用消耗指数。</w:t>
            </w:r>
          </w:p>
        </w:tc>
      </w:tr>
      <w:tr w14:paraId="3816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113B08C7">
            <w:pPr>
              <w:widowControl/>
              <w:spacing w:line="240" w:lineRule="auto"/>
              <w:ind w:firstLine="0" w:firstLineChars="0"/>
              <w:jc w:val="center"/>
              <w:textAlignment w:val="center"/>
              <w:rPr>
                <w:rFonts w:hint="eastAsia"/>
                <w:sz w:val="21"/>
                <w:szCs w:val="21"/>
              </w:rPr>
            </w:pPr>
            <w:r>
              <w:rPr>
                <w:rFonts w:hint="eastAsia"/>
                <w:sz w:val="21"/>
                <w:szCs w:val="21"/>
                <w:lang w:bidi="ar"/>
              </w:rPr>
              <w:t>50</w:t>
            </w:r>
          </w:p>
        </w:tc>
        <w:tc>
          <w:tcPr>
            <w:tcW w:w="1322" w:type="dxa"/>
            <w:vMerge w:val="continue"/>
            <w:shd w:val="clear" w:color="auto" w:fill="auto"/>
            <w:vAlign w:val="center"/>
          </w:tcPr>
          <w:p w14:paraId="3C64B046">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1A32642C">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423144C7">
            <w:pPr>
              <w:widowControl/>
              <w:spacing w:line="240" w:lineRule="auto"/>
              <w:ind w:firstLine="0" w:firstLineChars="0"/>
              <w:jc w:val="center"/>
              <w:textAlignment w:val="center"/>
              <w:rPr>
                <w:rFonts w:hint="eastAsia"/>
                <w:sz w:val="21"/>
                <w:szCs w:val="21"/>
              </w:rPr>
            </w:pPr>
            <w:r>
              <w:rPr>
                <w:rFonts w:hint="eastAsia"/>
                <w:color w:val="000000"/>
                <w:sz w:val="21"/>
                <w:szCs w:val="21"/>
                <w:lang w:bidi="ar"/>
              </w:rPr>
              <w:t>医疗质量分析</w:t>
            </w:r>
          </w:p>
        </w:tc>
        <w:tc>
          <w:tcPr>
            <w:tcW w:w="4284" w:type="dxa"/>
            <w:shd w:val="clear" w:color="auto" w:fill="auto"/>
            <w:vAlign w:val="center"/>
          </w:tcPr>
          <w:p w14:paraId="11D1DCEE">
            <w:pPr>
              <w:widowControl/>
              <w:spacing w:line="240" w:lineRule="auto"/>
              <w:ind w:firstLine="0" w:firstLineChars="0"/>
              <w:textAlignment w:val="center"/>
              <w:rPr>
                <w:rFonts w:hint="eastAsia"/>
                <w:color w:val="000000"/>
                <w:sz w:val="21"/>
                <w:szCs w:val="21"/>
              </w:rPr>
            </w:pPr>
            <w:r>
              <w:rPr>
                <w:rFonts w:hint="eastAsia"/>
                <w:color w:val="000000"/>
                <w:sz w:val="21"/>
                <w:szCs w:val="21"/>
                <w:lang w:bidi="ar"/>
              </w:rPr>
              <w:t>支持展示低风险死亡率、7天再住院率、14再住院率、30天再住院率，提供指标定制化服务。</w:t>
            </w:r>
          </w:p>
        </w:tc>
      </w:tr>
      <w:tr w14:paraId="147C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6" w:type="dxa"/>
            <w:shd w:val="clear" w:color="auto" w:fill="auto"/>
            <w:noWrap/>
            <w:vAlign w:val="center"/>
          </w:tcPr>
          <w:p w14:paraId="42B39B9C">
            <w:pPr>
              <w:widowControl/>
              <w:spacing w:line="240" w:lineRule="auto"/>
              <w:ind w:firstLine="0" w:firstLineChars="0"/>
              <w:jc w:val="center"/>
              <w:textAlignment w:val="center"/>
              <w:rPr>
                <w:rFonts w:hint="eastAsia"/>
                <w:sz w:val="21"/>
                <w:szCs w:val="21"/>
              </w:rPr>
            </w:pPr>
            <w:r>
              <w:rPr>
                <w:rFonts w:hint="eastAsia"/>
                <w:sz w:val="21"/>
                <w:szCs w:val="21"/>
                <w:lang w:bidi="ar"/>
              </w:rPr>
              <w:t>51</w:t>
            </w:r>
          </w:p>
        </w:tc>
        <w:tc>
          <w:tcPr>
            <w:tcW w:w="1322" w:type="dxa"/>
            <w:vMerge w:val="continue"/>
            <w:shd w:val="clear" w:color="auto" w:fill="auto"/>
            <w:vAlign w:val="center"/>
          </w:tcPr>
          <w:p w14:paraId="360BD306">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096F478A">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387A9BCF">
            <w:pPr>
              <w:widowControl/>
              <w:spacing w:line="240" w:lineRule="auto"/>
              <w:ind w:firstLine="0" w:firstLineChars="0"/>
              <w:jc w:val="center"/>
              <w:textAlignment w:val="center"/>
              <w:rPr>
                <w:rFonts w:hint="eastAsia"/>
                <w:sz w:val="21"/>
                <w:szCs w:val="21"/>
              </w:rPr>
            </w:pPr>
            <w:r>
              <w:rPr>
                <w:rFonts w:hint="eastAsia"/>
                <w:color w:val="000000"/>
                <w:sz w:val="21"/>
                <w:szCs w:val="21"/>
                <w:lang w:bidi="ar"/>
              </w:rPr>
              <w:t>不同期对比分析</w:t>
            </w:r>
          </w:p>
        </w:tc>
        <w:tc>
          <w:tcPr>
            <w:tcW w:w="4284" w:type="dxa"/>
            <w:shd w:val="clear" w:color="auto" w:fill="auto"/>
            <w:vAlign w:val="center"/>
          </w:tcPr>
          <w:p w14:paraId="424D87D9">
            <w:pPr>
              <w:widowControl/>
              <w:spacing w:line="240" w:lineRule="auto"/>
              <w:ind w:firstLine="0" w:firstLineChars="0"/>
              <w:textAlignment w:val="center"/>
              <w:rPr>
                <w:rFonts w:hint="eastAsia"/>
                <w:color w:val="000000"/>
                <w:sz w:val="21"/>
                <w:szCs w:val="21"/>
              </w:rPr>
            </w:pPr>
            <w:r>
              <w:rPr>
                <w:rFonts w:hint="eastAsia"/>
                <w:color w:val="000000"/>
                <w:sz w:val="21"/>
                <w:szCs w:val="21"/>
                <w:lang w:bidi="ar"/>
              </w:rPr>
              <w:t>支持自定义按照不同月份或不同季度对CMI、总点数、入组率、重症占比、30天再住院率、低风险死亡率、平均住院日、高倍率占比、药占比、耗材占比关键指标对比分析。</w:t>
            </w:r>
          </w:p>
        </w:tc>
      </w:tr>
      <w:tr w14:paraId="317E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24A37BF7">
            <w:pPr>
              <w:widowControl/>
              <w:spacing w:line="240" w:lineRule="auto"/>
              <w:ind w:firstLine="0" w:firstLineChars="0"/>
              <w:jc w:val="center"/>
              <w:textAlignment w:val="center"/>
              <w:rPr>
                <w:rFonts w:hint="eastAsia"/>
                <w:sz w:val="21"/>
                <w:szCs w:val="21"/>
              </w:rPr>
            </w:pPr>
            <w:r>
              <w:rPr>
                <w:rFonts w:hint="eastAsia"/>
                <w:sz w:val="21"/>
                <w:szCs w:val="21"/>
                <w:lang w:bidi="ar"/>
              </w:rPr>
              <w:t>52</w:t>
            </w:r>
          </w:p>
        </w:tc>
        <w:tc>
          <w:tcPr>
            <w:tcW w:w="1322" w:type="dxa"/>
            <w:vMerge w:val="continue"/>
            <w:shd w:val="clear" w:color="auto" w:fill="auto"/>
            <w:vAlign w:val="center"/>
          </w:tcPr>
          <w:p w14:paraId="1268E864">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18E64AA1">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3E3741B6">
            <w:pPr>
              <w:widowControl/>
              <w:spacing w:line="240" w:lineRule="auto"/>
              <w:ind w:firstLine="0" w:firstLineChars="0"/>
              <w:jc w:val="center"/>
              <w:textAlignment w:val="center"/>
              <w:rPr>
                <w:rFonts w:hint="eastAsia"/>
                <w:sz w:val="21"/>
                <w:szCs w:val="21"/>
              </w:rPr>
            </w:pPr>
            <w:r>
              <w:rPr>
                <w:rFonts w:hint="eastAsia"/>
                <w:color w:val="000000"/>
                <w:sz w:val="21"/>
                <w:szCs w:val="21"/>
                <w:lang w:bidi="ar"/>
              </w:rPr>
              <w:t>CMI分析</w:t>
            </w:r>
          </w:p>
        </w:tc>
        <w:tc>
          <w:tcPr>
            <w:tcW w:w="4284" w:type="dxa"/>
            <w:shd w:val="clear" w:color="auto" w:fill="auto"/>
            <w:vAlign w:val="center"/>
          </w:tcPr>
          <w:p w14:paraId="00731264">
            <w:pPr>
              <w:widowControl/>
              <w:spacing w:line="240" w:lineRule="auto"/>
              <w:ind w:firstLine="0" w:firstLineChars="0"/>
              <w:textAlignment w:val="center"/>
              <w:rPr>
                <w:rFonts w:hint="eastAsia"/>
                <w:color w:val="000000"/>
                <w:sz w:val="21"/>
                <w:szCs w:val="21"/>
              </w:rPr>
            </w:pPr>
            <w:r>
              <w:rPr>
                <w:rFonts w:hint="eastAsia"/>
                <w:color w:val="000000"/>
                <w:sz w:val="21"/>
                <w:szCs w:val="21"/>
                <w:lang w:bidi="ar"/>
              </w:rPr>
              <w:t>支持分析CMI变化趋势，不同RW（权重）范围下的病例数、占比分析。</w:t>
            </w:r>
          </w:p>
        </w:tc>
      </w:tr>
      <w:tr w14:paraId="6689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069FB34E">
            <w:pPr>
              <w:widowControl/>
              <w:spacing w:line="240" w:lineRule="auto"/>
              <w:ind w:firstLine="0" w:firstLineChars="0"/>
              <w:jc w:val="center"/>
              <w:textAlignment w:val="center"/>
              <w:rPr>
                <w:rFonts w:hint="eastAsia"/>
                <w:sz w:val="21"/>
                <w:szCs w:val="21"/>
              </w:rPr>
            </w:pPr>
            <w:r>
              <w:rPr>
                <w:rFonts w:hint="eastAsia"/>
                <w:sz w:val="21"/>
                <w:szCs w:val="21"/>
                <w:lang w:bidi="ar"/>
              </w:rPr>
              <w:t>53</w:t>
            </w:r>
          </w:p>
        </w:tc>
        <w:tc>
          <w:tcPr>
            <w:tcW w:w="1322" w:type="dxa"/>
            <w:vMerge w:val="continue"/>
            <w:shd w:val="clear" w:color="auto" w:fill="auto"/>
            <w:vAlign w:val="center"/>
          </w:tcPr>
          <w:p w14:paraId="71030E9C">
            <w:pPr>
              <w:widowControl/>
              <w:spacing w:line="240" w:lineRule="auto"/>
              <w:ind w:firstLine="0" w:firstLineChars="0"/>
              <w:jc w:val="center"/>
              <w:rPr>
                <w:rFonts w:hint="eastAsia"/>
                <w:sz w:val="21"/>
                <w:szCs w:val="21"/>
              </w:rPr>
            </w:pPr>
          </w:p>
        </w:tc>
        <w:tc>
          <w:tcPr>
            <w:tcW w:w="1200" w:type="dxa"/>
            <w:vMerge w:val="restart"/>
            <w:shd w:val="clear" w:color="auto" w:fill="auto"/>
            <w:noWrap/>
            <w:vAlign w:val="center"/>
          </w:tcPr>
          <w:p w14:paraId="487FAB65">
            <w:pPr>
              <w:widowControl/>
              <w:spacing w:line="240" w:lineRule="auto"/>
              <w:ind w:firstLine="0" w:firstLineChars="0"/>
              <w:jc w:val="center"/>
              <w:textAlignment w:val="center"/>
              <w:rPr>
                <w:rFonts w:hint="eastAsia"/>
                <w:sz w:val="21"/>
                <w:szCs w:val="21"/>
              </w:rPr>
            </w:pPr>
            <w:r>
              <w:rPr>
                <w:rFonts w:hint="eastAsia"/>
                <w:sz w:val="21"/>
                <w:szCs w:val="21"/>
                <w:lang w:bidi="ar"/>
              </w:rPr>
              <w:t>监控预警</w:t>
            </w:r>
          </w:p>
        </w:tc>
        <w:tc>
          <w:tcPr>
            <w:tcW w:w="1080" w:type="dxa"/>
            <w:shd w:val="clear" w:color="auto" w:fill="auto"/>
            <w:noWrap/>
            <w:vAlign w:val="center"/>
          </w:tcPr>
          <w:p w14:paraId="47A52DCD">
            <w:pPr>
              <w:widowControl/>
              <w:spacing w:line="240" w:lineRule="auto"/>
              <w:ind w:firstLine="0" w:firstLineChars="0"/>
              <w:jc w:val="center"/>
              <w:textAlignment w:val="center"/>
              <w:rPr>
                <w:rFonts w:hint="eastAsia"/>
                <w:sz w:val="21"/>
                <w:szCs w:val="21"/>
              </w:rPr>
            </w:pPr>
            <w:r>
              <w:rPr>
                <w:rFonts w:hint="eastAsia"/>
                <w:color w:val="000000"/>
                <w:sz w:val="21"/>
                <w:szCs w:val="21"/>
                <w:lang w:bidi="ar"/>
              </w:rPr>
              <w:t>关注指标管理</w:t>
            </w:r>
          </w:p>
        </w:tc>
        <w:tc>
          <w:tcPr>
            <w:tcW w:w="4284" w:type="dxa"/>
            <w:shd w:val="clear" w:color="auto" w:fill="auto"/>
            <w:vAlign w:val="center"/>
          </w:tcPr>
          <w:p w14:paraId="35A62C62">
            <w:pPr>
              <w:widowControl/>
              <w:spacing w:line="240" w:lineRule="auto"/>
              <w:ind w:firstLine="0" w:firstLineChars="0"/>
              <w:textAlignment w:val="center"/>
              <w:rPr>
                <w:rFonts w:hint="eastAsia"/>
                <w:color w:val="000000"/>
                <w:sz w:val="21"/>
                <w:szCs w:val="21"/>
              </w:rPr>
            </w:pPr>
            <w:r>
              <w:rPr>
                <w:rFonts w:hint="eastAsia"/>
                <w:color w:val="000000"/>
                <w:sz w:val="21"/>
                <w:szCs w:val="21"/>
                <w:lang w:bidi="ar"/>
              </w:rPr>
              <w:t>可以实现关注指标的增加删除修改等的管理定义</w:t>
            </w:r>
          </w:p>
        </w:tc>
      </w:tr>
      <w:tr w14:paraId="3BD5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5716710C">
            <w:pPr>
              <w:widowControl/>
              <w:spacing w:line="240" w:lineRule="auto"/>
              <w:ind w:firstLine="0" w:firstLineChars="0"/>
              <w:jc w:val="center"/>
              <w:textAlignment w:val="center"/>
              <w:rPr>
                <w:rFonts w:hint="eastAsia"/>
                <w:sz w:val="21"/>
                <w:szCs w:val="21"/>
              </w:rPr>
            </w:pPr>
            <w:r>
              <w:rPr>
                <w:rFonts w:hint="eastAsia"/>
                <w:sz w:val="21"/>
                <w:szCs w:val="21"/>
                <w:lang w:bidi="ar"/>
              </w:rPr>
              <w:t>54</w:t>
            </w:r>
          </w:p>
        </w:tc>
        <w:tc>
          <w:tcPr>
            <w:tcW w:w="1322" w:type="dxa"/>
            <w:vMerge w:val="continue"/>
            <w:shd w:val="clear" w:color="auto" w:fill="auto"/>
            <w:vAlign w:val="center"/>
          </w:tcPr>
          <w:p w14:paraId="49AB54F5">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0BC5F792">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1BFF317A">
            <w:pPr>
              <w:widowControl/>
              <w:spacing w:line="240" w:lineRule="auto"/>
              <w:ind w:firstLine="0" w:firstLineChars="0"/>
              <w:jc w:val="center"/>
              <w:textAlignment w:val="center"/>
              <w:rPr>
                <w:rFonts w:hint="eastAsia"/>
                <w:sz w:val="21"/>
                <w:szCs w:val="21"/>
              </w:rPr>
            </w:pPr>
            <w:r>
              <w:rPr>
                <w:rFonts w:hint="eastAsia"/>
                <w:color w:val="000000"/>
                <w:sz w:val="21"/>
                <w:szCs w:val="21"/>
                <w:lang w:bidi="ar"/>
              </w:rPr>
              <w:t>规则配置管理</w:t>
            </w:r>
          </w:p>
        </w:tc>
        <w:tc>
          <w:tcPr>
            <w:tcW w:w="4284" w:type="dxa"/>
            <w:shd w:val="clear" w:color="auto" w:fill="auto"/>
            <w:vAlign w:val="center"/>
          </w:tcPr>
          <w:p w14:paraId="52815176">
            <w:pPr>
              <w:widowControl/>
              <w:spacing w:line="240" w:lineRule="auto"/>
              <w:ind w:firstLine="0" w:firstLineChars="0"/>
              <w:textAlignment w:val="center"/>
              <w:rPr>
                <w:rFonts w:hint="eastAsia"/>
                <w:color w:val="000000"/>
                <w:sz w:val="21"/>
                <w:szCs w:val="21"/>
              </w:rPr>
            </w:pPr>
            <w:r>
              <w:rPr>
                <w:rFonts w:hint="eastAsia"/>
                <w:color w:val="000000"/>
                <w:sz w:val="21"/>
                <w:szCs w:val="21"/>
                <w:lang w:bidi="ar"/>
              </w:rPr>
              <w:t>可以实现对需要监测指标的阈值及规则设置、触发条件设置</w:t>
            </w:r>
          </w:p>
        </w:tc>
      </w:tr>
      <w:tr w14:paraId="0219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7D3CC125">
            <w:pPr>
              <w:widowControl/>
              <w:spacing w:line="240" w:lineRule="auto"/>
              <w:ind w:firstLine="0" w:firstLineChars="0"/>
              <w:jc w:val="center"/>
              <w:textAlignment w:val="center"/>
              <w:rPr>
                <w:rFonts w:hint="eastAsia"/>
                <w:sz w:val="21"/>
                <w:szCs w:val="21"/>
              </w:rPr>
            </w:pPr>
            <w:r>
              <w:rPr>
                <w:rFonts w:hint="eastAsia"/>
                <w:sz w:val="21"/>
                <w:szCs w:val="21"/>
                <w:lang w:bidi="ar"/>
              </w:rPr>
              <w:t>55</w:t>
            </w:r>
          </w:p>
        </w:tc>
        <w:tc>
          <w:tcPr>
            <w:tcW w:w="1322" w:type="dxa"/>
            <w:vMerge w:val="continue"/>
            <w:shd w:val="clear" w:color="auto" w:fill="auto"/>
            <w:vAlign w:val="center"/>
          </w:tcPr>
          <w:p w14:paraId="772CFC89">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41C63F0A">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53322559">
            <w:pPr>
              <w:widowControl/>
              <w:spacing w:line="240" w:lineRule="auto"/>
              <w:ind w:firstLine="0" w:firstLineChars="0"/>
              <w:jc w:val="center"/>
              <w:textAlignment w:val="center"/>
              <w:rPr>
                <w:rFonts w:hint="eastAsia"/>
                <w:sz w:val="21"/>
                <w:szCs w:val="21"/>
              </w:rPr>
            </w:pPr>
            <w:r>
              <w:rPr>
                <w:rFonts w:hint="eastAsia"/>
                <w:color w:val="000000"/>
                <w:sz w:val="21"/>
                <w:szCs w:val="21"/>
                <w:lang w:bidi="ar"/>
              </w:rPr>
              <w:t>监测任务管理</w:t>
            </w:r>
          </w:p>
        </w:tc>
        <w:tc>
          <w:tcPr>
            <w:tcW w:w="4284" w:type="dxa"/>
            <w:shd w:val="clear" w:color="auto" w:fill="auto"/>
            <w:vAlign w:val="center"/>
          </w:tcPr>
          <w:p w14:paraId="46526B6D">
            <w:pPr>
              <w:widowControl/>
              <w:spacing w:line="240" w:lineRule="auto"/>
              <w:ind w:firstLine="0" w:firstLineChars="0"/>
              <w:textAlignment w:val="center"/>
              <w:rPr>
                <w:rFonts w:hint="eastAsia"/>
                <w:color w:val="000000"/>
                <w:sz w:val="21"/>
                <w:szCs w:val="21"/>
              </w:rPr>
            </w:pPr>
            <w:r>
              <w:rPr>
                <w:rFonts w:hint="eastAsia"/>
                <w:color w:val="000000"/>
                <w:sz w:val="21"/>
                <w:szCs w:val="21"/>
                <w:lang w:bidi="ar"/>
              </w:rPr>
              <w:t>对监测任务进行配置，包括任务执行周期、任务执行规则明细、任务失败处理</w:t>
            </w:r>
          </w:p>
        </w:tc>
      </w:tr>
      <w:tr w14:paraId="68D6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6" w:type="dxa"/>
            <w:shd w:val="clear" w:color="auto" w:fill="auto"/>
            <w:noWrap/>
            <w:vAlign w:val="center"/>
          </w:tcPr>
          <w:p w14:paraId="31831D26">
            <w:pPr>
              <w:widowControl/>
              <w:spacing w:line="240" w:lineRule="auto"/>
              <w:ind w:firstLine="0" w:firstLineChars="0"/>
              <w:jc w:val="center"/>
              <w:textAlignment w:val="center"/>
              <w:rPr>
                <w:rFonts w:hint="eastAsia"/>
                <w:sz w:val="21"/>
                <w:szCs w:val="21"/>
              </w:rPr>
            </w:pPr>
            <w:r>
              <w:rPr>
                <w:rFonts w:hint="eastAsia"/>
                <w:sz w:val="21"/>
                <w:szCs w:val="21"/>
                <w:lang w:bidi="ar"/>
              </w:rPr>
              <w:t>56</w:t>
            </w:r>
          </w:p>
        </w:tc>
        <w:tc>
          <w:tcPr>
            <w:tcW w:w="1322" w:type="dxa"/>
            <w:vMerge w:val="continue"/>
            <w:shd w:val="clear" w:color="auto" w:fill="auto"/>
            <w:vAlign w:val="center"/>
          </w:tcPr>
          <w:p w14:paraId="1F23E23A">
            <w:pPr>
              <w:widowControl/>
              <w:spacing w:line="240" w:lineRule="auto"/>
              <w:ind w:firstLine="0" w:firstLineChars="0"/>
              <w:jc w:val="center"/>
              <w:rPr>
                <w:rFonts w:hint="eastAsia"/>
                <w:sz w:val="21"/>
                <w:szCs w:val="21"/>
              </w:rPr>
            </w:pPr>
          </w:p>
        </w:tc>
        <w:tc>
          <w:tcPr>
            <w:tcW w:w="1200" w:type="dxa"/>
            <w:vMerge w:val="continue"/>
            <w:shd w:val="clear" w:color="auto" w:fill="auto"/>
            <w:noWrap/>
            <w:vAlign w:val="center"/>
          </w:tcPr>
          <w:p w14:paraId="4373D73E">
            <w:pPr>
              <w:widowControl/>
              <w:spacing w:line="240" w:lineRule="auto"/>
              <w:ind w:firstLine="0" w:firstLineChars="0"/>
              <w:jc w:val="center"/>
              <w:rPr>
                <w:rFonts w:hint="eastAsia"/>
                <w:sz w:val="21"/>
                <w:szCs w:val="21"/>
              </w:rPr>
            </w:pPr>
          </w:p>
        </w:tc>
        <w:tc>
          <w:tcPr>
            <w:tcW w:w="1080" w:type="dxa"/>
            <w:shd w:val="clear" w:color="auto" w:fill="auto"/>
            <w:noWrap/>
            <w:vAlign w:val="center"/>
          </w:tcPr>
          <w:p w14:paraId="07EFDEEC">
            <w:pPr>
              <w:widowControl/>
              <w:spacing w:line="240" w:lineRule="auto"/>
              <w:ind w:firstLine="0" w:firstLineChars="0"/>
              <w:jc w:val="center"/>
              <w:textAlignment w:val="center"/>
              <w:rPr>
                <w:rFonts w:hint="eastAsia"/>
                <w:sz w:val="21"/>
                <w:szCs w:val="21"/>
              </w:rPr>
            </w:pPr>
            <w:r>
              <w:rPr>
                <w:rFonts w:hint="eastAsia"/>
                <w:color w:val="000000"/>
                <w:sz w:val="21"/>
                <w:szCs w:val="21"/>
                <w:lang w:bidi="ar"/>
              </w:rPr>
              <w:t>预警任务实例</w:t>
            </w:r>
          </w:p>
        </w:tc>
        <w:tc>
          <w:tcPr>
            <w:tcW w:w="4284" w:type="dxa"/>
            <w:shd w:val="clear" w:color="auto" w:fill="auto"/>
            <w:vAlign w:val="center"/>
          </w:tcPr>
          <w:p w14:paraId="6D903EF8">
            <w:pPr>
              <w:widowControl/>
              <w:spacing w:line="240" w:lineRule="auto"/>
              <w:ind w:firstLine="0" w:firstLineChars="0"/>
              <w:textAlignment w:val="center"/>
              <w:rPr>
                <w:rFonts w:hint="eastAsia"/>
                <w:color w:val="000000"/>
                <w:sz w:val="21"/>
                <w:szCs w:val="21"/>
              </w:rPr>
            </w:pPr>
            <w:r>
              <w:rPr>
                <w:rFonts w:hint="eastAsia"/>
                <w:color w:val="000000"/>
                <w:sz w:val="21"/>
                <w:szCs w:val="21"/>
                <w:lang w:bidi="ar"/>
              </w:rPr>
              <w:t>实现预警推送方式定义、删除、修改、管理等内容</w:t>
            </w:r>
          </w:p>
        </w:tc>
      </w:tr>
    </w:tbl>
    <w:p w14:paraId="44A6D433">
      <w:pPr>
        <w:ind w:firstLine="0" w:firstLineChars="0"/>
        <w:rPr>
          <w:rFonts w:hint="eastAsia"/>
        </w:rPr>
      </w:pPr>
    </w:p>
    <w:p w14:paraId="4BD05952">
      <w:pPr>
        <w:pStyle w:val="4"/>
        <w:rPr>
          <w:rFonts w:hint="eastAsia"/>
        </w:rPr>
      </w:pPr>
      <w:r>
        <w:rPr>
          <w:rFonts w:hint="eastAsia"/>
        </w:rPr>
        <w:t>智能审核服务要求</w:t>
      </w:r>
    </w:p>
    <w:p w14:paraId="39BB7D4B">
      <w:pPr>
        <w:ind w:left="-15" w:firstLine="480"/>
        <w:rPr>
          <w:rFonts w:hint="eastAsia"/>
        </w:rPr>
      </w:pPr>
      <w:r>
        <w:t>具体功能要求如下：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081"/>
        <w:gridCol w:w="1069"/>
        <w:gridCol w:w="5689"/>
      </w:tblGrid>
      <w:tr w14:paraId="5D2C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01" w:type="pct"/>
            <w:shd w:val="clear" w:color="auto" w:fill="auto"/>
            <w:vAlign w:val="center"/>
          </w:tcPr>
          <w:p w14:paraId="083A3B6E">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序号</w:t>
            </w:r>
          </w:p>
        </w:tc>
        <w:tc>
          <w:tcPr>
            <w:tcW w:w="634" w:type="pct"/>
            <w:shd w:val="clear" w:color="auto" w:fill="auto"/>
            <w:vAlign w:val="center"/>
          </w:tcPr>
          <w:p w14:paraId="569F2E62">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功能模块</w:t>
            </w:r>
          </w:p>
        </w:tc>
        <w:tc>
          <w:tcPr>
            <w:tcW w:w="627" w:type="pct"/>
            <w:shd w:val="clear" w:color="auto" w:fill="auto"/>
            <w:vAlign w:val="center"/>
          </w:tcPr>
          <w:p w14:paraId="6B33C087">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功能清单</w:t>
            </w:r>
          </w:p>
        </w:tc>
        <w:tc>
          <w:tcPr>
            <w:tcW w:w="3337" w:type="pct"/>
            <w:shd w:val="clear" w:color="auto" w:fill="auto"/>
            <w:vAlign w:val="center"/>
          </w:tcPr>
          <w:p w14:paraId="04D36E5B">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功能要求说明</w:t>
            </w:r>
          </w:p>
        </w:tc>
      </w:tr>
      <w:tr w14:paraId="2039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71BC9552">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1</w:t>
            </w:r>
          </w:p>
        </w:tc>
        <w:tc>
          <w:tcPr>
            <w:tcW w:w="634" w:type="pct"/>
            <w:vMerge w:val="restart"/>
            <w:shd w:val="clear" w:color="auto" w:fill="auto"/>
            <w:vAlign w:val="center"/>
          </w:tcPr>
          <w:p w14:paraId="5A909E35">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系统首页</w:t>
            </w:r>
          </w:p>
        </w:tc>
        <w:tc>
          <w:tcPr>
            <w:tcW w:w="627" w:type="pct"/>
            <w:shd w:val="clear" w:color="auto" w:fill="auto"/>
            <w:vAlign w:val="center"/>
          </w:tcPr>
          <w:p w14:paraId="06C89836">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首页</w:t>
            </w:r>
          </w:p>
        </w:tc>
        <w:tc>
          <w:tcPr>
            <w:tcW w:w="3337" w:type="pct"/>
            <w:shd w:val="clear" w:color="auto" w:fill="auto"/>
            <w:vAlign w:val="center"/>
          </w:tcPr>
          <w:p w14:paraId="7EE9B2F8">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展示系统日常使用情况，包括提醒调用的次数、审核违规的次数、违规金额、当日出去入院人数、在院人数、知识库条数等信息。</w:t>
            </w:r>
          </w:p>
        </w:tc>
      </w:tr>
      <w:tr w14:paraId="22D4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4543FD82">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2</w:t>
            </w:r>
          </w:p>
        </w:tc>
        <w:tc>
          <w:tcPr>
            <w:tcW w:w="634" w:type="pct"/>
            <w:vMerge w:val="continue"/>
            <w:shd w:val="clear" w:color="auto" w:fill="auto"/>
            <w:vAlign w:val="center"/>
          </w:tcPr>
          <w:p w14:paraId="171469EC">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107A2B46">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工作台</w:t>
            </w:r>
          </w:p>
        </w:tc>
        <w:tc>
          <w:tcPr>
            <w:tcW w:w="3337" w:type="pct"/>
            <w:shd w:val="clear" w:color="auto" w:fill="auto"/>
            <w:vAlign w:val="center"/>
          </w:tcPr>
          <w:p w14:paraId="0D88B699">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首页工作台聚合角色化快捷入口及协作任务流，集成分级消息中枢与多终端自适应模块，实现高效决策与业务闭环管理。</w:t>
            </w:r>
          </w:p>
        </w:tc>
      </w:tr>
      <w:tr w14:paraId="7898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3A362E88">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3</w:t>
            </w:r>
          </w:p>
        </w:tc>
        <w:tc>
          <w:tcPr>
            <w:tcW w:w="634" w:type="pct"/>
            <w:vMerge w:val="restart"/>
            <w:shd w:val="clear" w:color="auto" w:fill="auto"/>
            <w:vAlign w:val="center"/>
          </w:tcPr>
          <w:p w14:paraId="413FAF36">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疑点数据管理</w:t>
            </w:r>
          </w:p>
        </w:tc>
        <w:tc>
          <w:tcPr>
            <w:tcW w:w="627" w:type="pct"/>
            <w:shd w:val="clear" w:color="auto" w:fill="auto"/>
            <w:vAlign w:val="center"/>
          </w:tcPr>
          <w:p w14:paraId="5BFC8967">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审核流程配置</w:t>
            </w:r>
          </w:p>
        </w:tc>
        <w:tc>
          <w:tcPr>
            <w:tcW w:w="3337" w:type="pct"/>
            <w:shd w:val="clear" w:color="auto" w:fill="auto"/>
            <w:vAlign w:val="center"/>
          </w:tcPr>
          <w:p w14:paraId="644BDFC5">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用户可根据实际需要勾选不同违规类型的疑点，设置是否需要进行审核；支持配置审核时间，科室主任为实时审核或在规定时间内审核</w:t>
            </w:r>
          </w:p>
        </w:tc>
      </w:tr>
      <w:tr w14:paraId="6198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30442241">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4</w:t>
            </w:r>
          </w:p>
        </w:tc>
        <w:tc>
          <w:tcPr>
            <w:tcW w:w="634" w:type="pct"/>
            <w:vMerge w:val="continue"/>
            <w:shd w:val="clear" w:color="auto" w:fill="auto"/>
            <w:vAlign w:val="center"/>
          </w:tcPr>
          <w:p w14:paraId="400AC3CB">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328A30AD">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门诊疑点数据审核</w:t>
            </w:r>
          </w:p>
        </w:tc>
        <w:tc>
          <w:tcPr>
            <w:tcW w:w="3337" w:type="pct"/>
            <w:shd w:val="clear" w:color="auto" w:fill="auto"/>
            <w:vAlign w:val="center"/>
          </w:tcPr>
          <w:p w14:paraId="1DB5ADE5">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对系统抓取的需要发起审核流程的门诊疑点信息进行管理，支持科室主任进行审核，必要时可由科室主任或医保办人员发起院内会审</w:t>
            </w:r>
          </w:p>
        </w:tc>
      </w:tr>
      <w:tr w14:paraId="3C5F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799172B0">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5</w:t>
            </w:r>
          </w:p>
        </w:tc>
        <w:tc>
          <w:tcPr>
            <w:tcW w:w="634" w:type="pct"/>
            <w:vMerge w:val="continue"/>
            <w:shd w:val="clear" w:color="auto" w:fill="auto"/>
            <w:vAlign w:val="center"/>
          </w:tcPr>
          <w:p w14:paraId="67D6D4B1">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20D00CBE">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住院疑点数据审核</w:t>
            </w:r>
          </w:p>
        </w:tc>
        <w:tc>
          <w:tcPr>
            <w:tcW w:w="3337" w:type="pct"/>
            <w:shd w:val="clear" w:color="auto" w:fill="auto"/>
            <w:vAlign w:val="center"/>
          </w:tcPr>
          <w:p w14:paraId="5CB0A225">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对系统抓取的需要发起审核流程的住院疑点信息进行管理，支持科室主任进行审核，必要时可由科室主任或医保办人员发起院内会审</w:t>
            </w:r>
          </w:p>
        </w:tc>
      </w:tr>
      <w:tr w14:paraId="6C6A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3A4BEDBE">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6</w:t>
            </w:r>
          </w:p>
        </w:tc>
        <w:tc>
          <w:tcPr>
            <w:tcW w:w="634" w:type="pct"/>
            <w:vMerge w:val="restart"/>
            <w:shd w:val="clear" w:color="auto" w:fill="auto"/>
            <w:vAlign w:val="center"/>
          </w:tcPr>
          <w:p w14:paraId="015EA9A3">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事前提醒管理</w:t>
            </w:r>
          </w:p>
        </w:tc>
        <w:tc>
          <w:tcPr>
            <w:tcW w:w="627" w:type="pct"/>
            <w:shd w:val="clear" w:color="auto" w:fill="auto"/>
            <w:vAlign w:val="center"/>
          </w:tcPr>
          <w:p w14:paraId="274A4A3B">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事前提醒大屏分析</w:t>
            </w:r>
          </w:p>
        </w:tc>
        <w:tc>
          <w:tcPr>
            <w:tcW w:w="3337" w:type="pct"/>
            <w:shd w:val="clear" w:color="auto" w:fill="auto"/>
            <w:vAlign w:val="center"/>
          </w:tcPr>
          <w:p w14:paraId="4FAF670D">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实时查看住院和门诊的事前的调用科室、调用医生、违规项目、触发规则等信息统计情况。</w:t>
            </w:r>
          </w:p>
        </w:tc>
      </w:tr>
      <w:tr w14:paraId="4F11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28268081">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7</w:t>
            </w:r>
          </w:p>
        </w:tc>
        <w:tc>
          <w:tcPr>
            <w:tcW w:w="634" w:type="pct"/>
            <w:vMerge w:val="continue"/>
            <w:shd w:val="clear" w:color="auto" w:fill="auto"/>
            <w:vAlign w:val="center"/>
          </w:tcPr>
          <w:p w14:paraId="2F41CB89">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6E2DDE54">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门诊事前实时审核提醒（弹窗）</w:t>
            </w:r>
          </w:p>
        </w:tc>
        <w:tc>
          <w:tcPr>
            <w:tcW w:w="3337" w:type="pct"/>
            <w:shd w:val="clear" w:color="auto" w:fill="auto"/>
            <w:vAlign w:val="center"/>
          </w:tcPr>
          <w:p w14:paraId="71FE1D91">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支持在医师开具普通门诊或门特门慢处方时，HIS系统自动调用审核服务，筛查出处方明细中存在的违规疑点；通过弹窗形式实时提醒医师，并引导医师进行相应操作。</w:t>
            </w:r>
          </w:p>
        </w:tc>
      </w:tr>
      <w:tr w14:paraId="6117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27DFB8C7">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8</w:t>
            </w:r>
          </w:p>
        </w:tc>
        <w:tc>
          <w:tcPr>
            <w:tcW w:w="634" w:type="pct"/>
            <w:vMerge w:val="continue"/>
            <w:shd w:val="clear" w:color="auto" w:fill="auto"/>
            <w:vAlign w:val="center"/>
          </w:tcPr>
          <w:p w14:paraId="2A01308F">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64719323">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门诊事前提醒查询</w:t>
            </w:r>
          </w:p>
        </w:tc>
        <w:tc>
          <w:tcPr>
            <w:tcW w:w="3337" w:type="pct"/>
            <w:shd w:val="clear" w:color="auto" w:fill="auto"/>
            <w:vAlign w:val="center"/>
          </w:tcPr>
          <w:p w14:paraId="3EAEC326">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查看通过门诊记录和费用明细两个维度及门诊号、患者信息、主诊断、项目名称等条件过滤查询疑点信息。</w:t>
            </w:r>
          </w:p>
        </w:tc>
      </w:tr>
      <w:tr w14:paraId="1961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46B2412B">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9</w:t>
            </w:r>
          </w:p>
        </w:tc>
        <w:tc>
          <w:tcPr>
            <w:tcW w:w="634" w:type="pct"/>
            <w:vMerge w:val="continue"/>
            <w:shd w:val="clear" w:color="auto" w:fill="auto"/>
            <w:vAlign w:val="center"/>
          </w:tcPr>
          <w:p w14:paraId="2180A951">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680F1EBE">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住院事前实时审核提醒（弹窗）</w:t>
            </w:r>
          </w:p>
        </w:tc>
        <w:tc>
          <w:tcPr>
            <w:tcW w:w="3337" w:type="pct"/>
            <w:shd w:val="clear" w:color="auto" w:fill="auto"/>
            <w:vAlign w:val="center"/>
          </w:tcPr>
          <w:p w14:paraId="0D75D459">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支持在住院医师开具医嘱时，HIS系统自动调用审核服务，筛查出本次医嘱存在的违规疑点；通过弹窗形式实时提醒医师，并引导医师进行相应操作。</w:t>
            </w:r>
          </w:p>
        </w:tc>
      </w:tr>
      <w:tr w14:paraId="08FA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47CEC68F">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10</w:t>
            </w:r>
          </w:p>
        </w:tc>
        <w:tc>
          <w:tcPr>
            <w:tcW w:w="634" w:type="pct"/>
            <w:vMerge w:val="continue"/>
            <w:shd w:val="clear" w:color="auto" w:fill="auto"/>
            <w:vAlign w:val="center"/>
          </w:tcPr>
          <w:p w14:paraId="066C0B75">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6442AD52">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住院事前提醒查询</w:t>
            </w:r>
          </w:p>
        </w:tc>
        <w:tc>
          <w:tcPr>
            <w:tcW w:w="3337" w:type="pct"/>
            <w:shd w:val="clear" w:color="auto" w:fill="auto"/>
            <w:vAlign w:val="center"/>
          </w:tcPr>
          <w:p w14:paraId="6759C67D">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查看通过住院记录和费用明细两个维度及住院号、患者信息、主诊断、项目名称等条件过滤查询疑点信息。</w:t>
            </w:r>
          </w:p>
        </w:tc>
      </w:tr>
      <w:tr w14:paraId="658F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78D3F7E5">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11</w:t>
            </w:r>
          </w:p>
        </w:tc>
        <w:tc>
          <w:tcPr>
            <w:tcW w:w="634" w:type="pct"/>
            <w:vMerge w:val="restart"/>
            <w:shd w:val="clear" w:color="auto" w:fill="auto"/>
            <w:vAlign w:val="center"/>
          </w:tcPr>
          <w:p w14:paraId="14D8F13F">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事中审核管理</w:t>
            </w:r>
          </w:p>
        </w:tc>
        <w:tc>
          <w:tcPr>
            <w:tcW w:w="627" w:type="pct"/>
            <w:shd w:val="clear" w:color="auto" w:fill="auto"/>
            <w:vAlign w:val="center"/>
          </w:tcPr>
          <w:p w14:paraId="143214C0">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事中审核大屏分析</w:t>
            </w:r>
          </w:p>
        </w:tc>
        <w:tc>
          <w:tcPr>
            <w:tcW w:w="3337" w:type="pct"/>
            <w:shd w:val="clear" w:color="auto" w:fill="auto"/>
            <w:vAlign w:val="center"/>
          </w:tcPr>
          <w:p w14:paraId="314A8B42">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实时查看住院事中的在院数量，违规明细、违规科室、违规医生、违规项目排序、触发规则排序等信息统计情况。</w:t>
            </w:r>
          </w:p>
        </w:tc>
      </w:tr>
      <w:tr w14:paraId="6215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1" w:type="pct"/>
            <w:shd w:val="clear" w:color="auto" w:fill="auto"/>
            <w:vAlign w:val="center"/>
          </w:tcPr>
          <w:p w14:paraId="6A4F7F00">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12</w:t>
            </w:r>
          </w:p>
        </w:tc>
        <w:tc>
          <w:tcPr>
            <w:tcW w:w="634" w:type="pct"/>
            <w:vMerge w:val="continue"/>
            <w:shd w:val="clear" w:color="auto" w:fill="auto"/>
            <w:vAlign w:val="center"/>
          </w:tcPr>
          <w:p w14:paraId="3FDB4CB3">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248834B4">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门诊结算实时审核提醒（弹窗）</w:t>
            </w:r>
          </w:p>
        </w:tc>
        <w:tc>
          <w:tcPr>
            <w:tcW w:w="3337" w:type="pct"/>
            <w:shd w:val="clear" w:color="auto" w:fill="auto"/>
            <w:vAlign w:val="center"/>
          </w:tcPr>
          <w:p w14:paraId="36D0E394">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该功能用于患者进行门诊费用结算时，在将费用明细和结算信息上传到医保前，对相关信息进行实时预审，筛查出本次结算存在的违规疑点；对于窗口结算的情况，通过弹窗形式实时提醒窗口收费人员；对于自助机或移动结算的情况，接口返回审核结果，由his系统判断是否引导其到窗口进行人工结算或继续进行结算。</w:t>
            </w:r>
          </w:p>
        </w:tc>
      </w:tr>
      <w:tr w14:paraId="145B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1" w:type="pct"/>
            <w:shd w:val="clear" w:color="auto" w:fill="auto"/>
            <w:vAlign w:val="center"/>
          </w:tcPr>
          <w:p w14:paraId="7E86354F">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13</w:t>
            </w:r>
          </w:p>
        </w:tc>
        <w:tc>
          <w:tcPr>
            <w:tcW w:w="634" w:type="pct"/>
            <w:vMerge w:val="continue"/>
            <w:shd w:val="clear" w:color="auto" w:fill="auto"/>
            <w:vAlign w:val="center"/>
          </w:tcPr>
          <w:p w14:paraId="08E8F494">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0EF9B0C1">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门诊事中疑点查询</w:t>
            </w:r>
          </w:p>
        </w:tc>
        <w:tc>
          <w:tcPr>
            <w:tcW w:w="3337" w:type="pct"/>
            <w:shd w:val="clear" w:color="auto" w:fill="auto"/>
            <w:vAlign w:val="center"/>
          </w:tcPr>
          <w:p w14:paraId="327671A2">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系统记录调用门诊事中审核服务筛查出的所有违规疑点信息，用户可通过审核时间、违规级别、科室、医生、费用类别、规则名称、项目编码、项目名称等条件过滤查询疑点清单。支持查看疑点详情，了解该疑点涉及的就诊信息、费用明细、诊断信息、医嘱信息等。</w:t>
            </w:r>
          </w:p>
        </w:tc>
      </w:tr>
      <w:tr w14:paraId="19C0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1" w:type="pct"/>
            <w:shd w:val="clear" w:color="auto" w:fill="auto"/>
            <w:vAlign w:val="center"/>
          </w:tcPr>
          <w:p w14:paraId="2B706CB4">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14</w:t>
            </w:r>
          </w:p>
        </w:tc>
        <w:tc>
          <w:tcPr>
            <w:tcW w:w="634" w:type="pct"/>
            <w:vMerge w:val="continue"/>
            <w:shd w:val="clear" w:color="auto" w:fill="auto"/>
            <w:vAlign w:val="center"/>
          </w:tcPr>
          <w:p w14:paraId="1473ECEA">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01DCE42E">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医生站出科实时审核提醒（弹窗）</w:t>
            </w:r>
          </w:p>
        </w:tc>
        <w:tc>
          <w:tcPr>
            <w:tcW w:w="3337" w:type="pct"/>
            <w:shd w:val="clear" w:color="auto" w:fill="auto"/>
            <w:vAlign w:val="center"/>
          </w:tcPr>
          <w:p w14:paraId="18276477">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支持医师在患者转科或下达出院医嘱时对患者本次住院所有费用明细进行实时审核，系统自动调用审核服务，筛查出本次住院费用存在的违规疑点，医生可根据引导提示做相应的操作</w:t>
            </w:r>
          </w:p>
        </w:tc>
      </w:tr>
      <w:tr w14:paraId="2EF2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1" w:type="pct"/>
            <w:shd w:val="clear" w:color="auto" w:fill="auto"/>
            <w:vAlign w:val="center"/>
          </w:tcPr>
          <w:p w14:paraId="2DDC76D5">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15</w:t>
            </w:r>
          </w:p>
        </w:tc>
        <w:tc>
          <w:tcPr>
            <w:tcW w:w="634" w:type="pct"/>
            <w:vMerge w:val="continue"/>
            <w:shd w:val="clear" w:color="auto" w:fill="auto"/>
            <w:vAlign w:val="center"/>
          </w:tcPr>
          <w:p w14:paraId="13B17D62">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3F1230AF">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护士站出科实时审核提醒（弹窗）</w:t>
            </w:r>
          </w:p>
        </w:tc>
        <w:tc>
          <w:tcPr>
            <w:tcW w:w="3337" w:type="pct"/>
            <w:shd w:val="clear" w:color="auto" w:fill="auto"/>
            <w:vAlign w:val="center"/>
          </w:tcPr>
          <w:p w14:paraId="16D04E8A">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该功能用于患者进行住院费用结算时，在将费用明细和结算信息上传到医保前，对相关信息进行实时预审，筛查出本次结算存在的违规疑点；对于窗口结算的情况，通过弹窗形式实时提醒窗口收费人员；对于自助机或移动结算的情况，接口返回审核结果，由his系统判断是否引导其到窗口进行人工结算或继续进行结算。</w:t>
            </w:r>
          </w:p>
        </w:tc>
      </w:tr>
      <w:tr w14:paraId="7BB0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0DA9A688">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16</w:t>
            </w:r>
          </w:p>
        </w:tc>
        <w:tc>
          <w:tcPr>
            <w:tcW w:w="634" w:type="pct"/>
            <w:vMerge w:val="continue"/>
            <w:shd w:val="clear" w:color="auto" w:fill="auto"/>
            <w:vAlign w:val="center"/>
          </w:tcPr>
          <w:p w14:paraId="1EC60367">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04C2BDDA">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住院结算实时审核提醒（弹窗）</w:t>
            </w:r>
          </w:p>
        </w:tc>
        <w:tc>
          <w:tcPr>
            <w:tcW w:w="3337" w:type="pct"/>
            <w:shd w:val="clear" w:color="auto" w:fill="auto"/>
            <w:vAlign w:val="center"/>
          </w:tcPr>
          <w:p w14:paraId="101E7D9C">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支持窗口在办理结算时对患者本次住院所有费用明细进行实时审核，系统自动调用审核服务，筛查出本次住院费用存在的违规疑点，医生可根据引导提示做相应的操作</w:t>
            </w:r>
          </w:p>
        </w:tc>
      </w:tr>
      <w:tr w14:paraId="6DA3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2F97908B">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17</w:t>
            </w:r>
          </w:p>
        </w:tc>
        <w:tc>
          <w:tcPr>
            <w:tcW w:w="634" w:type="pct"/>
            <w:vMerge w:val="continue"/>
            <w:shd w:val="clear" w:color="auto" w:fill="auto"/>
            <w:vAlign w:val="center"/>
          </w:tcPr>
          <w:p w14:paraId="44FAAEED">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054B65B8">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住院事中审核查询</w:t>
            </w:r>
          </w:p>
        </w:tc>
        <w:tc>
          <w:tcPr>
            <w:tcW w:w="3337" w:type="pct"/>
            <w:shd w:val="clear" w:color="auto" w:fill="auto"/>
            <w:vAlign w:val="center"/>
          </w:tcPr>
          <w:p w14:paraId="26BA5275">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查看通过住院记录和费用明细两个维度及住院号、患者信息、主诊断、项目名称等条件过滤查询事中触发审核后的疑点信息。</w:t>
            </w:r>
          </w:p>
        </w:tc>
      </w:tr>
      <w:tr w14:paraId="4BBD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1BDBFE75">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18</w:t>
            </w:r>
          </w:p>
        </w:tc>
        <w:tc>
          <w:tcPr>
            <w:tcW w:w="634" w:type="pct"/>
            <w:vMerge w:val="restart"/>
            <w:shd w:val="clear" w:color="auto" w:fill="auto"/>
            <w:vAlign w:val="center"/>
          </w:tcPr>
          <w:p w14:paraId="7FDC98A5">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事后监管管理</w:t>
            </w:r>
          </w:p>
        </w:tc>
        <w:tc>
          <w:tcPr>
            <w:tcW w:w="627" w:type="pct"/>
            <w:shd w:val="clear" w:color="auto" w:fill="auto"/>
            <w:vAlign w:val="center"/>
          </w:tcPr>
          <w:p w14:paraId="098BA23F">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事后审核大屏分析</w:t>
            </w:r>
          </w:p>
        </w:tc>
        <w:tc>
          <w:tcPr>
            <w:tcW w:w="3337" w:type="pct"/>
            <w:shd w:val="clear" w:color="auto" w:fill="auto"/>
            <w:vAlign w:val="center"/>
          </w:tcPr>
          <w:p w14:paraId="32391999">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实时查看住院和门诊结算后审核的违规明细、违规科室、违规医生、违规项目排序、触发规则排序等信息统计情况。</w:t>
            </w:r>
          </w:p>
        </w:tc>
      </w:tr>
      <w:tr w14:paraId="0F3F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0A814CDF">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19</w:t>
            </w:r>
          </w:p>
        </w:tc>
        <w:tc>
          <w:tcPr>
            <w:tcW w:w="634" w:type="pct"/>
            <w:vMerge w:val="continue"/>
            <w:shd w:val="clear" w:color="auto" w:fill="auto"/>
            <w:vAlign w:val="center"/>
          </w:tcPr>
          <w:p w14:paraId="0E310256">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5C014CCC">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住院事后监管查询</w:t>
            </w:r>
          </w:p>
        </w:tc>
        <w:tc>
          <w:tcPr>
            <w:tcW w:w="3337" w:type="pct"/>
            <w:shd w:val="clear" w:color="auto" w:fill="auto"/>
            <w:vAlign w:val="center"/>
          </w:tcPr>
          <w:p w14:paraId="192ECE5E">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查看通过门诊记录和费用明细两个维度及门诊号、患者信息、主诊断、项目名称等条件过滤查询事后触发的疑点信息。</w:t>
            </w:r>
          </w:p>
        </w:tc>
      </w:tr>
      <w:tr w14:paraId="0FE2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7304638D">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20</w:t>
            </w:r>
          </w:p>
        </w:tc>
        <w:tc>
          <w:tcPr>
            <w:tcW w:w="634" w:type="pct"/>
            <w:vMerge w:val="continue"/>
            <w:shd w:val="clear" w:color="auto" w:fill="auto"/>
            <w:vAlign w:val="center"/>
          </w:tcPr>
          <w:p w14:paraId="645ED6C3">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3F93CA46">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门诊事后监管查询</w:t>
            </w:r>
          </w:p>
        </w:tc>
        <w:tc>
          <w:tcPr>
            <w:tcW w:w="3337" w:type="pct"/>
            <w:shd w:val="clear" w:color="auto" w:fill="auto"/>
            <w:vAlign w:val="center"/>
          </w:tcPr>
          <w:p w14:paraId="039B604E">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查看通过住院记录和费用明细两个维度及住院号、患者信息、主诊断、项目名称等条件过滤查询事后触发的疑点信息。</w:t>
            </w:r>
          </w:p>
        </w:tc>
      </w:tr>
      <w:tr w14:paraId="7F3C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3ABD3B68">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21</w:t>
            </w:r>
          </w:p>
        </w:tc>
        <w:tc>
          <w:tcPr>
            <w:tcW w:w="634" w:type="pct"/>
            <w:vMerge w:val="restart"/>
            <w:shd w:val="clear" w:color="auto" w:fill="auto"/>
            <w:vAlign w:val="center"/>
          </w:tcPr>
          <w:p w14:paraId="5734F8FF">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就诊信息查询</w:t>
            </w:r>
          </w:p>
        </w:tc>
        <w:tc>
          <w:tcPr>
            <w:tcW w:w="627" w:type="pct"/>
            <w:shd w:val="clear" w:color="auto" w:fill="auto"/>
            <w:vAlign w:val="center"/>
          </w:tcPr>
          <w:p w14:paraId="38B583C0">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门诊信息查询</w:t>
            </w:r>
          </w:p>
        </w:tc>
        <w:tc>
          <w:tcPr>
            <w:tcW w:w="3337" w:type="pct"/>
            <w:shd w:val="clear" w:color="auto" w:fill="auto"/>
            <w:vAlign w:val="center"/>
          </w:tcPr>
          <w:p w14:paraId="2FF5FCE0">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支持通过就诊时间、门诊号、患者姓名等条件过滤查看门诊病人列表，门诊病人列表直观展示患者相关基本信息、就诊时间、疑点数等信息</w:t>
            </w:r>
          </w:p>
        </w:tc>
      </w:tr>
      <w:tr w14:paraId="0939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791D468D">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22</w:t>
            </w:r>
          </w:p>
        </w:tc>
        <w:tc>
          <w:tcPr>
            <w:tcW w:w="634" w:type="pct"/>
            <w:vMerge w:val="continue"/>
            <w:shd w:val="clear" w:color="auto" w:fill="auto"/>
            <w:vAlign w:val="center"/>
          </w:tcPr>
          <w:p w14:paraId="1CD9B2CA">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7C0029C6">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住院信息查询</w:t>
            </w:r>
          </w:p>
        </w:tc>
        <w:tc>
          <w:tcPr>
            <w:tcW w:w="3337" w:type="pct"/>
            <w:shd w:val="clear" w:color="auto" w:fill="auto"/>
            <w:vAlign w:val="center"/>
          </w:tcPr>
          <w:p w14:paraId="2E493080">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支持通过入院时间、住院号、患者姓名等条件过滤查看住院病人列表，住院病人列表直观展示病人相关基本信息、出入院时间、住院天数、疑点数等信息</w:t>
            </w:r>
          </w:p>
        </w:tc>
      </w:tr>
      <w:tr w14:paraId="4269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6B46E5E6">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23</w:t>
            </w:r>
          </w:p>
        </w:tc>
        <w:tc>
          <w:tcPr>
            <w:tcW w:w="634" w:type="pct"/>
            <w:vMerge w:val="restart"/>
            <w:shd w:val="clear" w:color="auto" w:fill="auto"/>
            <w:vAlign w:val="center"/>
          </w:tcPr>
          <w:p w14:paraId="60BBA10B">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医保申诉管理</w:t>
            </w:r>
          </w:p>
        </w:tc>
        <w:tc>
          <w:tcPr>
            <w:tcW w:w="627" w:type="pct"/>
            <w:shd w:val="clear" w:color="auto" w:fill="auto"/>
            <w:vAlign w:val="center"/>
          </w:tcPr>
          <w:p w14:paraId="50456681">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数据导入</w:t>
            </w:r>
          </w:p>
        </w:tc>
        <w:tc>
          <w:tcPr>
            <w:tcW w:w="3337" w:type="pct"/>
            <w:shd w:val="clear" w:color="auto" w:fill="auto"/>
            <w:vAlign w:val="center"/>
          </w:tcPr>
          <w:p w14:paraId="0DBA3D6E">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支持在系统中导入医保局下发的初审扣款、终审扣款数据。导入初审数据时自动匹配院内就诊、开单执行信息等进行申诉任务下发。</w:t>
            </w:r>
          </w:p>
        </w:tc>
      </w:tr>
      <w:tr w14:paraId="5B54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1A0BD7FD">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24</w:t>
            </w:r>
          </w:p>
        </w:tc>
        <w:tc>
          <w:tcPr>
            <w:tcW w:w="634" w:type="pct"/>
            <w:vMerge w:val="continue"/>
            <w:shd w:val="clear" w:color="auto" w:fill="auto"/>
            <w:vAlign w:val="center"/>
          </w:tcPr>
          <w:p w14:paraId="094855D2">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04126AA2">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申诉任务下发</w:t>
            </w:r>
          </w:p>
        </w:tc>
        <w:tc>
          <w:tcPr>
            <w:tcW w:w="3337" w:type="pct"/>
            <w:shd w:val="clear" w:color="auto" w:fill="auto"/>
            <w:vAlign w:val="center"/>
          </w:tcPr>
          <w:p w14:paraId="71212F6A">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申诉任务下发支持按科室、医生组组、医师个人等维度；支持手工下发。</w:t>
            </w:r>
          </w:p>
        </w:tc>
      </w:tr>
      <w:tr w14:paraId="358C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1" w:type="pct"/>
            <w:shd w:val="clear" w:color="auto" w:fill="auto"/>
            <w:vAlign w:val="center"/>
          </w:tcPr>
          <w:p w14:paraId="32437EBC">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25</w:t>
            </w:r>
          </w:p>
        </w:tc>
        <w:tc>
          <w:tcPr>
            <w:tcW w:w="634" w:type="pct"/>
            <w:vMerge w:val="continue"/>
            <w:shd w:val="clear" w:color="auto" w:fill="auto"/>
            <w:vAlign w:val="center"/>
          </w:tcPr>
          <w:p w14:paraId="625F2B8C">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14E8DBD2">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申诉材料填写</w:t>
            </w:r>
          </w:p>
        </w:tc>
        <w:tc>
          <w:tcPr>
            <w:tcW w:w="3337" w:type="pct"/>
            <w:shd w:val="clear" w:color="auto" w:fill="auto"/>
            <w:vAlign w:val="center"/>
          </w:tcPr>
          <w:p w14:paraId="581CB935">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医师登录系统只可查看下发给自己的申诉任务，支持按结算月份、扣减类型、就诊流水号、患者姓名、项目名称等条件过滤申诉任务；支持批量或者逐个填写申诉材料及上传申诉附件，对非本科室或者本人处理申诉任务支持批量转交申请。</w:t>
            </w:r>
          </w:p>
        </w:tc>
      </w:tr>
      <w:tr w14:paraId="4739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1" w:type="pct"/>
            <w:shd w:val="clear" w:color="auto" w:fill="auto"/>
            <w:vAlign w:val="center"/>
          </w:tcPr>
          <w:p w14:paraId="102EEB5A">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26</w:t>
            </w:r>
          </w:p>
        </w:tc>
        <w:tc>
          <w:tcPr>
            <w:tcW w:w="634" w:type="pct"/>
            <w:vMerge w:val="continue"/>
            <w:shd w:val="clear" w:color="auto" w:fill="auto"/>
            <w:vAlign w:val="center"/>
          </w:tcPr>
          <w:p w14:paraId="53A40882">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0AF6DC39">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申诉审批</w:t>
            </w:r>
          </w:p>
        </w:tc>
        <w:tc>
          <w:tcPr>
            <w:tcW w:w="3337" w:type="pct"/>
            <w:shd w:val="clear" w:color="auto" w:fill="auto"/>
            <w:vAlign w:val="center"/>
          </w:tcPr>
          <w:p w14:paraId="1EDC8F1F">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提供院内申诉材料填写后审批功能，支持按结算月份、扣减类型、就诊流水号、患者姓名、项目名称等条件过滤申诉任务；支持查看医师填写的申诉原因及申诉附件，医保办可对临床科室提交的申诉意见进行逐个或者批量审批、驳回</w:t>
            </w:r>
          </w:p>
        </w:tc>
      </w:tr>
      <w:tr w14:paraId="6E4B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4C8E89B4">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27</w:t>
            </w:r>
          </w:p>
        </w:tc>
        <w:tc>
          <w:tcPr>
            <w:tcW w:w="634" w:type="pct"/>
            <w:vMerge w:val="continue"/>
            <w:shd w:val="clear" w:color="auto" w:fill="auto"/>
            <w:vAlign w:val="center"/>
          </w:tcPr>
          <w:p w14:paraId="21DB9144">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19B13AA5">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一键导出</w:t>
            </w:r>
          </w:p>
        </w:tc>
        <w:tc>
          <w:tcPr>
            <w:tcW w:w="3337" w:type="pct"/>
            <w:shd w:val="clear" w:color="auto" w:fill="auto"/>
            <w:vAlign w:val="center"/>
          </w:tcPr>
          <w:p w14:paraId="04A02C77">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支持一键导出已复审的申诉单据信息及附件。</w:t>
            </w:r>
          </w:p>
        </w:tc>
      </w:tr>
      <w:tr w14:paraId="6C47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38368242">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28</w:t>
            </w:r>
          </w:p>
        </w:tc>
        <w:tc>
          <w:tcPr>
            <w:tcW w:w="634" w:type="pct"/>
            <w:vMerge w:val="continue"/>
            <w:shd w:val="clear" w:color="auto" w:fill="auto"/>
            <w:vAlign w:val="center"/>
          </w:tcPr>
          <w:p w14:paraId="2F0DF734">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1D7D7A01">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一键上传</w:t>
            </w:r>
          </w:p>
        </w:tc>
        <w:tc>
          <w:tcPr>
            <w:tcW w:w="3337" w:type="pct"/>
            <w:shd w:val="clear" w:color="auto" w:fill="auto"/>
            <w:vAlign w:val="center"/>
          </w:tcPr>
          <w:p w14:paraId="48DC11BD">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对完成申诉复审后导出的申诉单据信息及附件，在两定平台进行一键导入，并自动匹配相应的初审单据完成申诉流程。</w:t>
            </w:r>
          </w:p>
        </w:tc>
      </w:tr>
      <w:tr w14:paraId="4891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1" w:type="pct"/>
            <w:shd w:val="clear" w:color="auto" w:fill="auto"/>
            <w:vAlign w:val="center"/>
          </w:tcPr>
          <w:p w14:paraId="596E6220">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29</w:t>
            </w:r>
          </w:p>
        </w:tc>
        <w:tc>
          <w:tcPr>
            <w:tcW w:w="634" w:type="pct"/>
            <w:vMerge w:val="restart"/>
            <w:shd w:val="clear" w:color="auto" w:fill="auto"/>
            <w:vAlign w:val="center"/>
          </w:tcPr>
          <w:p w14:paraId="4DCA744F">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数据统计分析</w:t>
            </w:r>
          </w:p>
        </w:tc>
        <w:tc>
          <w:tcPr>
            <w:tcW w:w="627" w:type="pct"/>
            <w:shd w:val="clear" w:color="auto" w:fill="auto"/>
            <w:vAlign w:val="center"/>
          </w:tcPr>
          <w:p w14:paraId="30E426B7">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全院疑点统计</w:t>
            </w:r>
          </w:p>
        </w:tc>
        <w:tc>
          <w:tcPr>
            <w:tcW w:w="3337" w:type="pct"/>
            <w:shd w:val="clear" w:color="auto" w:fill="auto"/>
            <w:vAlign w:val="center"/>
          </w:tcPr>
          <w:p w14:paraId="5E68719B">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支持按院区、科室、医生维度对事前疑点数据进行统计，用户可通过日期、医疗类别、规则场景（事前/事中/事后）进行查询，列表显示总就诊人次、提示异常人次、总疑点数、总疑点金额；点击院区可下钻查询科室事前疑点数据。</w:t>
            </w:r>
          </w:p>
        </w:tc>
      </w:tr>
      <w:tr w14:paraId="1B39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1" w:type="pct"/>
            <w:shd w:val="clear" w:color="auto" w:fill="auto"/>
            <w:vAlign w:val="center"/>
          </w:tcPr>
          <w:p w14:paraId="1027EE6D">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30</w:t>
            </w:r>
          </w:p>
        </w:tc>
        <w:tc>
          <w:tcPr>
            <w:tcW w:w="634" w:type="pct"/>
            <w:vMerge w:val="continue"/>
            <w:shd w:val="clear" w:color="auto" w:fill="auto"/>
            <w:vAlign w:val="center"/>
          </w:tcPr>
          <w:p w14:paraId="6B815122">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5A58D2B2">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科室疑点统计</w:t>
            </w:r>
          </w:p>
        </w:tc>
        <w:tc>
          <w:tcPr>
            <w:tcW w:w="3337" w:type="pct"/>
            <w:shd w:val="clear" w:color="auto" w:fill="auto"/>
            <w:vAlign w:val="center"/>
          </w:tcPr>
          <w:p w14:paraId="0C760712">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支持按院区、科室、医生维度对事前疑点数据进行统计，用户可通过日期、医疗类别、规则场景（事前/事中/事后）进行查询，列表显示总就诊人次、提示异常人次、总疑点数、总疑点金额；点击具体科室可下钻查询医生事前疑点数据。</w:t>
            </w:r>
          </w:p>
        </w:tc>
      </w:tr>
      <w:tr w14:paraId="55D5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1" w:type="pct"/>
            <w:shd w:val="clear" w:color="auto" w:fill="auto"/>
            <w:vAlign w:val="center"/>
          </w:tcPr>
          <w:p w14:paraId="7236BD3F">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31</w:t>
            </w:r>
          </w:p>
        </w:tc>
        <w:tc>
          <w:tcPr>
            <w:tcW w:w="634" w:type="pct"/>
            <w:vMerge w:val="continue"/>
            <w:shd w:val="clear" w:color="auto" w:fill="auto"/>
            <w:vAlign w:val="center"/>
          </w:tcPr>
          <w:p w14:paraId="1027C83A">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6F9D66C5">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医生疑点统计</w:t>
            </w:r>
          </w:p>
        </w:tc>
        <w:tc>
          <w:tcPr>
            <w:tcW w:w="3337" w:type="pct"/>
            <w:shd w:val="clear" w:color="auto" w:fill="auto"/>
            <w:vAlign w:val="center"/>
          </w:tcPr>
          <w:p w14:paraId="2EAAC65C">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支持按院区、科室、医生维度对事前疑点数据进行统计，用户可通过日期、医疗类别、规则场景（事前/事中/事后）进行查询，列表显示总就诊人次、提示异常人次、总疑点数、总疑点金额。</w:t>
            </w:r>
          </w:p>
        </w:tc>
      </w:tr>
      <w:tr w14:paraId="446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3C17279E">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32</w:t>
            </w:r>
          </w:p>
        </w:tc>
        <w:tc>
          <w:tcPr>
            <w:tcW w:w="634" w:type="pct"/>
            <w:vMerge w:val="continue"/>
            <w:shd w:val="clear" w:color="auto" w:fill="auto"/>
            <w:vAlign w:val="center"/>
          </w:tcPr>
          <w:p w14:paraId="3E0ACFFC">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7E23C81B">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综合数据定制</w:t>
            </w:r>
          </w:p>
        </w:tc>
        <w:tc>
          <w:tcPr>
            <w:tcW w:w="3337" w:type="pct"/>
            <w:shd w:val="clear" w:color="auto" w:fill="auto"/>
            <w:vAlign w:val="center"/>
          </w:tcPr>
          <w:p w14:paraId="61A0AF2F">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给出数据查询定制功能，能给操作员自由定制相关数据表的联查。</w:t>
            </w:r>
          </w:p>
        </w:tc>
      </w:tr>
      <w:tr w14:paraId="346F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29B74DE5">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33</w:t>
            </w:r>
          </w:p>
        </w:tc>
        <w:tc>
          <w:tcPr>
            <w:tcW w:w="634" w:type="pct"/>
            <w:vMerge w:val="restart"/>
            <w:shd w:val="clear" w:color="auto" w:fill="auto"/>
            <w:vAlign w:val="center"/>
          </w:tcPr>
          <w:p w14:paraId="18C7D620">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运营分析</w:t>
            </w:r>
          </w:p>
        </w:tc>
        <w:tc>
          <w:tcPr>
            <w:tcW w:w="627" w:type="pct"/>
            <w:shd w:val="clear" w:color="auto" w:fill="auto"/>
            <w:vAlign w:val="center"/>
          </w:tcPr>
          <w:p w14:paraId="33F63D85">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异常人次分析</w:t>
            </w:r>
          </w:p>
        </w:tc>
        <w:tc>
          <w:tcPr>
            <w:tcW w:w="3337" w:type="pct"/>
            <w:shd w:val="clear" w:color="auto" w:fill="auto"/>
            <w:vAlign w:val="center"/>
          </w:tcPr>
          <w:p w14:paraId="78823992">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对全院涉及的异常就诊人次进行分析，分别从医疗类别、日期、科室、病种、医生、触发场景等维度进行占比和变化趋势的分析</w:t>
            </w:r>
          </w:p>
        </w:tc>
      </w:tr>
      <w:tr w14:paraId="3769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397A3404">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34</w:t>
            </w:r>
          </w:p>
        </w:tc>
        <w:tc>
          <w:tcPr>
            <w:tcW w:w="634" w:type="pct"/>
            <w:vMerge w:val="continue"/>
            <w:shd w:val="clear" w:color="auto" w:fill="auto"/>
            <w:vAlign w:val="center"/>
          </w:tcPr>
          <w:p w14:paraId="6FF24560">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75DECF44">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违规费用分析</w:t>
            </w:r>
          </w:p>
        </w:tc>
        <w:tc>
          <w:tcPr>
            <w:tcW w:w="3337" w:type="pct"/>
            <w:shd w:val="clear" w:color="auto" w:fill="auto"/>
            <w:vAlign w:val="center"/>
          </w:tcPr>
          <w:p w14:paraId="00123130">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针对违规全院违规疑点的金额进行整体分析</w:t>
            </w:r>
          </w:p>
        </w:tc>
      </w:tr>
      <w:tr w14:paraId="6F04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406DB357">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35</w:t>
            </w:r>
          </w:p>
        </w:tc>
        <w:tc>
          <w:tcPr>
            <w:tcW w:w="634" w:type="pct"/>
            <w:vMerge w:val="continue"/>
            <w:shd w:val="clear" w:color="auto" w:fill="auto"/>
            <w:vAlign w:val="center"/>
          </w:tcPr>
          <w:p w14:paraId="1E65A24E">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48605634">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违反规则分析</w:t>
            </w:r>
          </w:p>
        </w:tc>
        <w:tc>
          <w:tcPr>
            <w:tcW w:w="3337" w:type="pct"/>
            <w:shd w:val="clear" w:color="auto" w:fill="auto"/>
            <w:vAlign w:val="center"/>
          </w:tcPr>
          <w:p w14:paraId="0C5B253D">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针对违规全院违规规则进行整体分析</w:t>
            </w:r>
          </w:p>
        </w:tc>
      </w:tr>
      <w:tr w14:paraId="7327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4D21C46F">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36</w:t>
            </w:r>
          </w:p>
        </w:tc>
        <w:tc>
          <w:tcPr>
            <w:tcW w:w="634" w:type="pct"/>
            <w:vMerge w:val="restart"/>
            <w:shd w:val="clear" w:color="auto" w:fill="auto"/>
            <w:vAlign w:val="center"/>
          </w:tcPr>
          <w:p w14:paraId="0DB47A6B">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院端知识库</w:t>
            </w:r>
          </w:p>
        </w:tc>
        <w:tc>
          <w:tcPr>
            <w:tcW w:w="627" w:type="pct"/>
            <w:shd w:val="clear" w:color="auto" w:fill="auto"/>
            <w:vAlign w:val="center"/>
          </w:tcPr>
          <w:p w14:paraId="7993FAF6">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规则库</w:t>
            </w:r>
          </w:p>
        </w:tc>
        <w:tc>
          <w:tcPr>
            <w:tcW w:w="3337" w:type="pct"/>
            <w:shd w:val="clear" w:color="auto" w:fill="auto"/>
            <w:vAlign w:val="center"/>
          </w:tcPr>
          <w:p w14:paraId="2439824A">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系统支持配置审核规则、规则应用范围配置</w:t>
            </w:r>
          </w:p>
        </w:tc>
      </w:tr>
      <w:tr w14:paraId="0B46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5F62575F">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37</w:t>
            </w:r>
          </w:p>
        </w:tc>
        <w:tc>
          <w:tcPr>
            <w:tcW w:w="634" w:type="pct"/>
            <w:vMerge w:val="continue"/>
            <w:shd w:val="clear" w:color="auto" w:fill="auto"/>
            <w:vAlign w:val="center"/>
          </w:tcPr>
          <w:p w14:paraId="7C52FA11">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4DB5F0BB">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政策库</w:t>
            </w:r>
          </w:p>
        </w:tc>
        <w:tc>
          <w:tcPr>
            <w:tcW w:w="3337" w:type="pct"/>
            <w:shd w:val="clear" w:color="auto" w:fill="auto"/>
            <w:vAlign w:val="center"/>
          </w:tcPr>
          <w:p w14:paraId="625F1F77">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政策文件材料上传、查询、下载。</w:t>
            </w:r>
          </w:p>
        </w:tc>
      </w:tr>
      <w:tr w14:paraId="61B5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28050343">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38</w:t>
            </w:r>
          </w:p>
        </w:tc>
        <w:tc>
          <w:tcPr>
            <w:tcW w:w="634" w:type="pct"/>
            <w:vMerge w:val="continue"/>
            <w:shd w:val="clear" w:color="auto" w:fill="auto"/>
            <w:vAlign w:val="center"/>
          </w:tcPr>
          <w:p w14:paraId="02895C5A">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6C5FEE33">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编码库</w:t>
            </w:r>
          </w:p>
        </w:tc>
        <w:tc>
          <w:tcPr>
            <w:tcW w:w="3337" w:type="pct"/>
            <w:shd w:val="clear" w:color="auto" w:fill="auto"/>
            <w:vAlign w:val="center"/>
          </w:tcPr>
          <w:p w14:paraId="29261648">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查询诊断目录和手术目录及医保药品、耗材、服务目录</w:t>
            </w:r>
          </w:p>
        </w:tc>
      </w:tr>
      <w:tr w14:paraId="436F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7FFA0F88">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39</w:t>
            </w:r>
          </w:p>
        </w:tc>
        <w:tc>
          <w:tcPr>
            <w:tcW w:w="634" w:type="pct"/>
            <w:vMerge w:val="restart"/>
            <w:shd w:val="clear" w:color="auto" w:fill="auto"/>
            <w:vAlign w:val="center"/>
          </w:tcPr>
          <w:p w14:paraId="4AE54F3C">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院内信息管理</w:t>
            </w:r>
          </w:p>
        </w:tc>
        <w:tc>
          <w:tcPr>
            <w:tcW w:w="627" w:type="pct"/>
            <w:shd w:val="clear" w:color="auto" w:fill="auto"/>
            <w:vAlign w:val="center"/>
          </w:tcPr>
          <w:p w14:paraId="16939F2C">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院区信息维护</w:t>
            </w:r>
          </w:p>
        </w:tc>
        <w:tc>
          <w:tcPr>
            <w:tcW w:w="3337" w:type="pct"/>
            <w:shd w:val="clear" w:color="auto" w:fill="auto"/>
            <w:vAlign w:val="center"/>
          </w:tcPr>
          <w:p w14:paraId="77F3ECD0">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配置所属医疗机构的院区信息</w:t>
            </w:r>
          </w:p>
        </w:tc>
      </w:tr>
      <w:tr w14:paraId="6422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2EE375E1">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40</w:t>
            </w:r>
          </w:p>
        </w:tc>
        <w:tc>
          <w:tcPr>
            <w:tcW w:w="634" w:type="pct"/>
            <w:vMerge w:val="continue"/>
            <w:shd w:val="clear" w:color="auto" w:fill="auto"/>
            <w:vAlign w:val="center"/>
          </w:tcPr>
          <w:p w14:paraId="3743ADC8">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0236FFEB">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科室信息维护</w:t>
            </w:r>
          </w:p>
        </w:tc>
        <w:tc>
          <w:tcPr>
            <w:tcW w:w="3337" w:type="pct"/>
            <w:shd w:val="clear" w:color="auto" w:fill="auto"/>
            <w:vAlign w:val="center"/>
          </w:tcPr>
          <w:p w14:paraId="2F0D8A58">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配置所属医疗机构的科室信息</w:t>
            </w:r>
          </w:p>
        </w:tc>
      </w:tr>
      <w:tr w14:paraId="403C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46C6BBA0">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41</w:t>
            </w:r>
          </w:p>
        </w:tc>
        <w:tc>
          <w:tcPr>
            <w:tcW w:w="634" w:type="pct"/>
            <w:vMerge w:val="continue"/>
            <w:shd w:val="clear" w:color="auto" w:fill="auto"/>
            <w:vAlign w:val="center"/>
          </w:tcPr>
          <w:p w14:paraId="33009561">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3AEA8F97">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医生组信息维护</w:t>
            </w:r>
          </w:p>
        </w:tc>
        <w:tc>
          <w:tcPr>
            <w:tcW w:w="3337" w:type="pct"/>
            <w:shd w:val="clear" w:color="auto" w:fill="auto"/>
            <w:vAlign w:val="center"/>
          </w:tcPr>
          <w:p w14:paraId="1533845F">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配置所属医疗机构科室下的医生组信息</w:t>
            </w:r>
          </w:p>
        </w:tc>
      </w:tr>
      <w:tr w14:paraId="2423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34DC5B41">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42</w:t>
            </w:r>
          </w:p>
        </w:tc>
        <w:tc>
          <w:tcPr>
            <w:tcW w:w="634" w:type="pct"/>
            <w:vMerge w:val="continue"/>
            <w:shd w:val="clear" w:color="auto" w:fill="auto"/>
            <w:vAlign w:val="center"/>
          </w:tcPr>
          <w:p w14:paraId="519827F1">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74CFCA40">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院内人员信息维护</w:t>
            </w:r>
          </w:p>
        </w:tc>
        <w:tc>
          <w:tcPr>
            <w:tcW w:w="3337" w:type="pct"/>
            <w:shd w:val="clear" w:color="auto" w:fill="auto"/>
            <w:vAlign w:val="center"/>
          </w:tcPr>
          <w:p w14:paraId="26792160">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配置所属医疗机构的医生信息并且可以进行系统用户绑定</w:t>
            </w:r>
          </w:p>
        </w:tc>
      </w:tr>
      <w:tr w14:paraId="1680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01" w:type="pct"/>
            <w:shd w:val="clear" w:color="auto" w:fill="auto"/>
            <w:vAlign w:val="center"/>
          </w:tcPr>
          <w:p w14:paraId="374B67D8">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43</w:t>
            </w:r>
          </w:p>
        </w:tc>
        <w:tc>
          <w:tcPr>
            <w:tcW w:w="634" w:type="pct"/>
            <w:vMerge w:val="restart"/>
            <w:shd w:val="clear" w:color="auto" w:fill="auto"/>
            <w:vAlign w:val="center"/>
          </w:tcPr>
          <w:p w14:paraId="68387C6A">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智能审核分析报告</w:t>
            </w:r>
          </w:p>
        </w:tc>
        <w:tc>
          <w:tcPr>
            <w:tcW w:w="627" w:type="pct"/>
            <w:shd w:val="clear" w:color="auto" w:fill="auto"/>
            <w:vAlign w:val="center"/>
          </w:tcPr>
          <w:p w14:paraId="713F2D5D">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报告模板管理</w:t>
            </w:r>
          </w:p>
        </w:tc>
        <w:tc>
          <w:tcPr>
            <w:tcW w:w="3337" w:type="pct"/>
            <w:shd w:val="clear" w:color="auto" w:fill="auto"/>
            <w:vAlign w:val="center"/>
          </w:tcPr>
          <w:p w14:paraId="695150A4">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用于编辑维护分析报告模板，支持通过插入指标占位符、图表、表格、文本等多种方式。后续系统根据预设的报告模板可定时生成分析报告。</w:t>
            </w:r>
          </w:p>
        </w:tc>
      </w:tr>
      <w:tr w14:paraId="2F50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1" w:type="pct"/>
            <w:shd w:val="clear" w:color="auto" w:fill="auto"/>
            <w:vAlign w:val="center"/>
          </w:tcPr>
          <w:p w14:paraId="248DAED6">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44</w:t>
            </w:r>
          </w:p>
        </w:tc>
        <w:tc>
          <w:tcPr>
            <w:tcW w:w="634" w:type="pct"/>
            <w:vMerge w:val="continue"/>
            <w:shd w:val="clear" w:color="auto" w:fill="auto"/>
            <w:vAlign w:val="center"/>
          </w:tcPr>
          <w:p w14:paraId="49AAC119">
            <w:pPr>
              <w:widowControl/>
              <w:spacing w:line="240" w:lineRule="auto"/>
              <w:ind w:firstLine="0" w:firstLineChars="0"/>
              <w:jc w:val="center"/>
              <w:rPr>
                <w:rFonts w:hint="eastAsia"/>
                <w:color w:val="000000"/>
                <w:sz w:val="21"/>
                <w:szCs w:val="21"/>
              </w:rPr>
            </w:pPr>
          </w:p>
        </w:tc>
        <w:tc>
          <w:tcPr>
            <w:tcW w:w="627" w:type="pct"/>
            <w:shd w:val="clear" w:color="auto" w:fill="auto"/>
            <w:vAlign w:val="center"/>
          </w:tcPr>
          <w:p w14:paraId="3D141536">
            <w:pPr>
              <w:widowControl/>
              <w:spacing w:line="240" w:lineRule="auto"/>
              <w:ind w:firstLine="0" w:firstLineChars="0"/>
              <w:jc w:val="center"/>
              <w:textAlignment w:val="center"/>
              <w:rPr>
                <w:rFonts w:hint="eastAsia"/>
                <w:color w:val="000000"/>
                <w:sz w:val="21"/>
                <w:szCs w:val="21"/>
              </w:rPr>
            </w:pPr>
            <w:r>
              <w:rPr>
                <w:rFonts w:hint="eastAsia"/>
                <w:color w:val="000000"/>
                <w:sz w:val="21"/>
                <w:szCs w:val="21"/>
                <w:lang w:bidi="ar"/>
              </w:rPr>
              <w:t>分析报告管理</w:t>
            </w:r>
          </w:p>
        </w:tc>
        <w:tc>
          <w:tcPr>
            <w:tcW w:w="3337" w:type="pct"/>
            <w:shd w:val="clear" w:color="auto" w:fill="auto"/>
            <w:vAlign w:val="center"/>
          </w:tcPr>
          <w:p w14:paraId="6394267B">
            <w:pPr>
              <w:widowControl/>
              <w:spacing w:line="240" w:lineRule="auto"/>
              <w:ind w:firstLine="0" w:firstLineChars="0"/>
              <w:jc w:val="both"/>
              <w:textAlignment w:val="center"/>
              <w:rPr>
                <w:rFonts w:hint="eastAsia"/>
                <w:color w:val="000000"/>
                <w:sz w:val="21"/>
                <w:szCs w:val="21"/>
              </w:rPr>
            </w:pPr>
            <w:r>
              <w:rPr>
                <w:rFonts w:hint="eastAsia"/>
                <w:color w:val="000000"/>
                <w:sz w:val="21"/>
                <w:szCs w:val="21"/>
                <w:lang w:bidi="ar"/>
              </w:rPr>
              <w:t>用于生成院内分析报告，用户可选择需要生成报告的模板和生成的时间维度，系统将自动采集对应的数据进行填充。用户在查看报告后，可下载报告到本地，并进行必要的调整和修改。</w:t>
            </w:r>
          </w:p>
        </w:tc>
      </w:tr>
    </w:tbl>
    <w:p w14:paraId="48BB2A84">
      <w:pPr>
        <w:pStyle w:val="4"/>
        <w:rPr>
          <w:rFonts w:hint="eastAsia"/>
        </w:rPr>
      </w:pPr>
      <w:r>
        <w:t>服务团队</w:t>
      </w:r>
    </w:p>
    <w:p w14:paraId="05EA70F5">
      <w:pPr>
        <w:ind w:firstLine="480"/>
      </w:pPr>
      <w:r>
        <w:t>响应供应商应针对本项目提供相关的服务团队，项目负责人1人技术人员不少于3人</w:t>
      </w:r>
      <w:r>
        <w:rPr>
          <w:rFonts w:hint="eastAsia"/>
          <w:lang w:val="en-US" w:eastAsia="zh-CN"/>
        </w:rPr>
        <w:t>成员</w:t>
      </w:r>
      <w:r>
        <w:t>；在系统产生故障时团队中所有成员应对本项目了解并能提供相应的解决方案，并对DIP政策</w:t>
      </w:r>
      <w:r>
        <w:rPr>
          <w:rFonts w:hint="eastAsia"/>
          <w:lang w:val="en-US" w:eastAsia="zh-CN"/>
        </w:rPr>
        <w:t>和智能审核规则</w:t>
      </w:r>
      <w:r>
        <w:t>要求熟练掌握（响应文件中应提供人员名单及联系方式）。</w:t>
      </w:r>
    </w:p>
    <w:p w14:paraId="2D2077EB">
      <w:pPr>
        <w:rPr>
          <w:rFonts w:hint="default" w:ascii="宋体" w:hAnsi="宋体" w:eastAsia="宋体" w:cs="宋体"/>
          <w:lang w:val="en-US" w:eastAsia="zh-CN"/>
        </w:rPr>
      </w:pPr>
    </w:p>
    <w:p w14:paraId="55D8A18F">
      <w:pPr>
        <w:pStyle w:val="3"/>
        <w:rPr>
          <w:rFonts w:hint="eastAsia"/>
        </w:rPr>
      </w:pPr>
      <w:r>
        <w:t>商务要求</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1329"/>
        <w:gridCol w:w="6479"/>
      </w:tblGrid>
      <w:tr w14:paraId="2AEDB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13F85BC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b/>
                <w:bCs/>
                <w:lang w:val="en-US" w:eastAsia="zh-CN"/>
              </w:rPr>
            </w:pPr>
            <w:r>
              <w:rPr>
                <w:rFonts w:hint="eastAsia" w:ascii="宋体" w:hAnsi="宋体" w:eastAsia="宋体"/>
                <w:b/>
                <w:bCs/>
                <w:lang w:val="en-US" w:eastAsia="zh-CN"/>
              </w:rPr>
              <w:t>序号</w:t>
            </w:r>
          </w:p>
        </w:tc>
        <w:tc>
          <w:tcPr>
            <w:tcW w:w="1329" w:type="dxa"/>
            <w:vAlign w:val="center"/>
          </w:tcPr>
          <w:p w14:paraId="1A8C946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b/>
                <w:bCs/>
              </w:rPr>
            </w:pPr>
            <w:r>
              <w:rPr>
                <w:rFonts w:hint="eastAsia" w:ascii="宋体" w:hAnsi="宋体" w:eastAsia="宋体"/>
                <w:b/>
                <w:bCs/>
              </w:rPr>
              <w:t>商务项目</w:t>
            </w:r>
          </w:p>
        </w:tc>
        <w:tc>
          <w:tcPr>
            <w:tcW w:w="6479" w:type="dxa"/>
          </w:tcPr>
          <w:p w14:paraId="60E6DE7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eastAsia="宋体"/>
                <w:b/>
                <w:bCs/>
              </w:rPr>
            </w:pPr>
            <w:r>
              <w:rPr>
                <w:rFonts w:hint="eastAsia" w:ascii="宋体" w:hAnsi="宋体" w:eastAsia="宋体"/>
                <w:b/>
                <w:bCs/>
              </w:rPr>
              <w:t>商务要求</w:t>
            </w:r>
          </w:p>
        </w:tc>
      </w:tr>
      <w:tr w14:paraId="4F98B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4EE37F3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Theme="minorEastAsia"/>
                <w:lang w:val="en-US" w:eastAsia="zh-CN"/>
              </w:rPr>
            </w:pPr>
            <w:r>
              <w:rPr>
                <w:rFonts w:hint="eastAsia"/>
                <w:lang w:val="en-US" w:eastAsia="zh-CN"/>
              </w:rPr>
              <w:t>1</w:t>
            </w:r>
          </w:p>
        </w:tc>
        <w:tc>
          <w:tcPr>
            <w:tcW w:w="1329" w:type="dxa"/>
            <w:vAlign w:val="center"/>
          </w:tcPr>
          <w:p w14:paraId="5DF7D77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rPr>
            </w:pPr>
            <w:r>
              <w:t>服务期限</w:t>
            </w:r>
          </w:p>
        </w:tc>
        <w:tc>
          <w:tcPr>
            <w:tcW w:w="6479" w:type="dxa"/>
          </w:tcPr>
          <w:p w14:paraId="6ADAB4C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rPr>
            </w:pPr>
            <w:r>
              <w:rPr>
                <w:rFonts w:hint="eastAsia" w:ascii="宋体" w:hAnsi="宋体" w:eastAsia="宋体" w:cs="宋体"/>
                <w:szCs w:val="21"/>
              </w:rPr>
              <w:t>自</w:t>
            </w:r>
            <w:r>
              <w:rPr>
                <w:rFonts w:hint="eastAsia" w:cs="宋体"/>
                <w:szCs w:val="21"/>
                <w:lang w:val="en-US" w:eastAsia="zh-CN"/>
              </w:rPr>
              <w:t>验收合格</w:t>
            </w:r>
            <w:r>
              <w:rPr>
                <w:rFonts w:hint="eastAsia" w:ascii="宋体" w:hAnsi="宋体" w:eastAsia="宋体" w:cs="宋体"/>
                <w:szCs w:val="21"/>
              </w:rPr>
              <w:t>之日起提供两年的免费运维服务。</w:t>
            </w:r>
          </w:p>
        </w:tc>
      </w:tr>
      <w:tr w14:paraId="69373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57ED8F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Theme="minorEastAsia"/>
                <w:lang w:val="en-US" w:eastAsia="zh-CN"/>
              </w:rPr>
            </w:pPr>
            <w:r>
              <w:rPr>
                <w:rFonts w:hint="eastAsia"/>
                <w:lang w:val="en-US" w:eastAsia="zh-CN"/>
              </w:rPr>
              <w:t>2</w:t>
            </w:r>
          </w:p>
        </w:tc>
        <w:tc>
          <w:tcPr>
            <w:tcW w:w="1329" w:type="dxa"/>
            <w:vAlign w:val="center"/>
          </w:tcPr>
          <w:p w14:paraId="0AE01B7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rPr>
            </w:pPr>
            <w:r>
              <w:t>服务地点</w:t>
            </w:r>
          </w:p>
        </w:tc>
        <w:tc>
          <w:tcPr>
            <w:tcW w:w="6479" w:type="dxa"/>
          </w:tcPr>
          <w:p w14:paraId="733C741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rPr>
            </w:pPr>
            <w:r>
              <w:rPr>
                <w:rFonts w:hint="eastAsia" w:ascii="宋体" w:hAnsi="宋体" w:eastAsia="宋体" w:cs="宋体"/>
                <w:szCs w:val="21"/>
              </w:rPr>
              <w:t>采购人指定地点。</w:t>
            </w:r>
          </w:p>
        </w:tc>
      </w:tr>
      <w:tr w14:paraId="75F52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0686222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Theme="minorEastAsia"/>
                <w:lang w:val="en-US" w:eastAsia="zh-CN"/>
              </w:rPr>
            </w:pPr>
            <w:r>
              <w:rPr>
                <w:rFonts w:hint="eastAsia"/>
                <w:lang w:val="en-US" w:eastAsia="zh-CN"/>
              </w:rPr>
              <w:t>3</w:t>
            </w:r>
          </w:p>
        </w:tc>
        <w:tc>
          <w:tcPr>
            <w:tcW w:w="1329" w:type="dxa"/>
            <w:vAlign w:val="center"/>
          </w:tcPr>
          <w:p w14:paraId="1B45C4A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rPr>
            </w:pPr>
            <w:r>
              <w:t>验收要求</w:t>
            </w:r>
          </w:p>
        </w:tc>
        <w:tc>
          <w:tcPr>
            <w:tcW w:w="6479" w:type="dxa"/>
          </w:tcPr>
          <w:p w14:paraId="1CF7AF6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rPr>
            </w:pPr>
            <w:r>
              <w:rPr>
                <w:rFonts w:hint="eastAsia" w:ascii="宋体" w:hAnsi="宋体" w:eastAsia="宋体" w:cs="宋体"/>
                <w:szCs w:val="21"/>
              </w:rPr>
              <w:t>3.1成交供应商验收前应对服务内容全面检查，应整理列出服务清单(服务清单的内容应与响应文件中一致)交采购人，作为采购人验收的依据；</w:t>
            </w:r>
          </w:p>
          <w:p w14:paraId="18C6479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rPr>
            </w:pPr>
            <w:r>
              <w:rPr>
                <w:rFonts w:hint="eastAsia" w:ascii="宋体" w:hAnsi="宋体" w:eastAsia="宋体" w:cs="宋体"/>
                <w:szCs w:val="21"/>
              </w:rPr>
              <w:t>3.2采购人对成交供应商所提供的服务清单依照采购文件、响应文件上的要求。验收不合格的不予签收，后果由成交供应商负责；</w:t>
            </w:r>
          </w:p>
          <w:p w14:paraId="3E5DF04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rPr>
            </w:pPr>
            <w:r>
              <w:rPr>
                <w:rFonts w:hint="eastAsia" w:ascii="宋体" w:hAnsi="宋体" w:eastAsia="宋体" w:cs="宋体"/>
                <w:szCs w:val="21"/>
              </w:rPr>
              <w:t>3.3采购人应组织专业人士在现场验收，验收时成交供应商必须在场。采购人根据其验收情况作出验收结果报告，成交供应商必须予以配合。如经采购人书面通知成交供应商到场成交供应商仍不到场的,视为成交供应商认可采购人的验收结果报告</w:t>
            </w:r>
            <w:r>
              <w:rPr>
                <w:rFonts w:hint="eastAsia" w:ascii="宋体" w:hAnsi="宋体" w:eastAsia="宋体" w:cs="宋体"/>
                <w:szCs w:val="21"/>
                <w:lang w:eastAsia="zh-CN"/>
              </w:rPr>
              <w:t>。</w:t>
            </w:r>
          </w:p>
        </w:tc>
      </w:tr>
      <w:tr w14:paraId="5E293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7689902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Theme="minorEastAsia"/>
                <w:lang w:val="en-US" w:eastAsia="zh-CN"/>
              </w:rPr>
            </w:pPr>
            <w:r>
              <w:rPr>
                <w:rFonts w:hint="eastAsia"/>
                <w:lang w:val="en-US" w:eastAsia="zh-CN"/>
              </w:rPr>
              <w:t>4</w:t>
            </w:r>
          </w:p>
        </w:tc>
        <w:tc>
          <w:tcPr>
            <w:tcW w:w="1329" w:type="dxa"/>
            <w:vAlign w:val="center"/>
          </w:tcPr>
          <w:p w14:paraId="7F5DB8D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rPr>
            </w:pPr>
            <w:r>
              <w:t>付款方式</w:t>
            </w:r>
          </w:p>
        </w:tc>
        <w:tc>
          <w:tcPr>
            <w:tcW w:w="6479" w:type="dxa"/>
          </w:tcPr>
          <w:p w14:paraId="3821EDD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rPr>
            </w:pPr>
            <w:r>
              <w:rPr>
                <w:rFonts w:hint="eastAsia" w:ascii="宋体" w:hAnsi="宋体" w:eastAsia="宋体" w:cs="宋体"/>
                <w:szCs w:val="21"/>
              </w:rPr>
              <w:t>付款方式：</w:t>
            </w:r>
          </w:p>
          <w:p w14:paraId="091A6A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（1）系统上线</w:t>
            </w:r>
            <w:r>
              <w:rPr>
                <w:rFonts w:hint="eastAsia" w:cs="宋体"/>
                <w:szCs w:val="21"/>
                <w:lang w:val="en-US" w:eastAsia="zh-CN"/>
              </w:rPr>
              <w:t>试运行</w:t>
            </w:r>
            <w:r>
              <w:rPr>
                <w:rFonts w:hint="eastAsia" w:ascii="宋体" w:hAnsi="宋体" w:eastAsia="宋体" w:cs="宋体"/>
                <w:szCs w:val="21"/>
                <w:lang w:val="en-US" w:eastAsia="zh-CN"/>
              </w:rPr>
              <w:t>，</w:t>
            </w:r>
            <w:r>
              <w:rPr>
                <w:rFonts w:hint="eastAsia" w:ascii="宋体" w:hAnsi="宋体" w:eastAsia="宋体" w:cs="宋体"/>
                <w:szCs w:val="21"/>
              </w:rPr>
              <w:t>15个工作日内采购人向成交供应商支付合同价款</w:t>
            </w:r>
            <w:r>
              <w:rPr>
                <w:rFonts w:hint="eastAsia" w:ascii="宋体" w:hAnsi="宋体" w:eastAsia="宋体" w:cs="宋体"/>
                <w:szCs w:val="21"/>
                <w:lang w:val="en-US" w:eastAsia="zh-CN"/>
              </w:rPr>
              <w:t>30</w:t>
            </w:r>
            <w:r>
              <w:rPr>
                <w:rFonts w:hint="eastAsia" w:ascii="宋体" w:hAnsi="宋体" w:eastAsia="宋体" w:cs="宋体"/>
                <w:szCs w:val="21"/>
              </w:rPr>
              <w:t>%；</w:t>
            </w:r>
          </w:p>
          <w:p w14:paraId="0586FF8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（2）系统验收，</w:t>
            </w:r>
            <w:r>
              <w:rPr>
                <w:rFonts w:hint="eastAsia" w:ascii="宋体" w:hAnsi="宋体" w:eastAsia="宋体" w:cs="宋体"/>
                <w:szCs w:val="21"/>
              </w:rPr>
              <w:t>15个工作日内采购人向成交供应商支付合同价款</w:t>
            </w:r>
            <w:r>
              <w:rPr>
                <w:rFonts w:hint="eastAsia" w:ascii="宋体" w:hAnsi="宋体" w:eastAsia="宋体" w:cs="宋体"/>
                <w:szCs w:val="21"/>
                <w:lang w:val="en-US" w:eastAsia="zh-CN"/>
              </w:rPr>
              <w:t>30</w:t>
            </w:r>
            <w:r>
              <w:rPr>
                <w:rFonts w:hint="eastAsia" w:ascii="宋体" w:hAnsi="宋体" w:eastAsia="宋体" w:cs="宋体"/>
                <w:szCs w:val="21"/>
              </w:rPr>
              <w:t>%；</w:t>
            </w:r>
          </w:p>
          <w:p w14:paraId="309DA05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（3）系统正常运行6个月后，</w:t>
            </w:r>
            <w:r>
              <w:rPr>
                <w:rFonts w:hint="eastAsia" w:ascii="宋体" w:hAnsi="宋体" w:eastAsia="宋体" w:cs="宋体"/>
                <w:szCs w:val="21"/>
              </w:rPr>
              <w:t>15个工作日内采购人向成交供应商支付合同价款</w:t>
            </w:r>
            <w:r>
              <w:rPr>
                <w:rFonts w:hint="eastAsia" w:ascii="宋体" w:hAnsi="宋体" w:eastAsia="宋体" w:cs="宋体"/>
                <w:szCs w:val="21"/>
                <w:lang w:val="en-US" w:eastAsia="zh-CN"/>
              </w:rPr>
              <w:t>3</w:t>
            </w:r>
            <w:r>
              <w:rPr>
                <w:rFonts w:hint="eastAsia" w:cs="宋体"/>
                <w:szCs w:val="21"/>
                <w:lang w:val="en-US" w:eastAsia="zh-CN"/>
              </w:rPr>
              <w:t>5</w:t>
            </w:r>
            <w:r>
              <w:rPr>
                <w:rFonts w:hint="eastAsia" w:ascii="宋体" w:hAnsi="宋体" w:eastAsia="宋体" w:cs="宋体"/>
                <w:szCs w:val="21"/>
              </w:rPr>
              <w:t>%；</w:t>
            </w:r>
          </w:p>
          <w:p w14:paraId="6429221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color w:val="auto"/>
                <w:szCs w:val="21"/>
                <w:lang w:val="en-US" w:eastAsia="zh-CN"/>
              </w:rPr>
              <w:t>系统运行</w:t>
            </w:r>
            <w:r>
              <w:rPr>
                <w:rFonts w:hint="eastAsia" w:cs="宋体"/>
                <w:color w:val="auto"/>
                <w:szCs w:val="21"/>
                <w:lang w:val="en-US" w:eastAsia="zh-CN"/>
              </w:rPr>
              <w:t>2</w:t>
            </w:r>
            <w:r>
              <w:rPr>
                <w:rFonts w:hint="eastAsia" w:ascii="宋体" w:hAnsi="宋体" w:eastAsia="宋体" w:cs="宋体"/>
                <w:color w:val="auto"/>
                <w:szCs w:val="21"/>
                <w:lang w:val="en-US" w:eastAsia="zh-CN"/>
              </w:rPr>
              <w:t>年后</w:t>
            </w:r>
            <w:r>
              <w:rPr>
                <w:rFonts w:hint="eastAsia" w:ascii="宋体" w:hAnsi="宋体" w:eastAsia="宋体" w:cs="宋体"/>
                <w:szCs w:val="21"/>
                <w:lang w:val="en-US" w:eastAsia="zh-CN"/>
              </w:rPr>
              <w:t>，</w:t>
            </w:r>
            <w:r>
              <w:rPr>
                <w:rFonts w:hint="eastAsia" w:ascii="宋体" w:hAnsi="宋体" w:eastAsia="宋体" w:cs="宋体"/>
                <w:szCs w:val="21"/>
              </w:rPr>
              <w:t>15个工作日内采购人向成交供应商支付合同价款</w:t>
            </w:r>
            <w:r>
              <w:rPr>
                <w:rFonts w:hint="eastAsia" w:cs="宋体"/>
                <w:szCs w:val="21"/>
                <w:lang w:val="en-US" w:eastAsia="zh-CN"/>
              </w:rPr>
              <w:t>5</w:t>
            </w:r>
            <w:r>
              <w:rPr>
                <w:rFonts w:hint="eastAsia" w:ascii="宋体" w:hAnsi="宋体" w:eastAsia="宋体" w:cs="宋体"/>
                <w:szCs w:val="21"/>
              </w:rPr>
              <w:t>%</w:t>
            </w:r>
            <w:r>
              <w:rPr>
                <w:rFonts w:hint="eastAsia" w:ascii="宋体" w:hAnsi="宋体" w:eastAsia="宋体" w:cs="宋体"/>
                <w:szCs w:val="21"/>
                <w:lang w:eastAsia="zh-CN"/>
              </w:rPr>
              <w:t>。</w:t>
            </w:r>
          </w:p>
        </w:tc>
      </w:tr>
      <w:tr w14:paraId="631A4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3F10BB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5</w:t>
            </w:r>
          </w:p>
        </w:tc>
        <w:tc>
          <w:tcPr>
            <w:tcW w:w="1329" w:type="dxa"/>
            <w:vAlign w:val="center"/>
          </w:tcPr>
          <w:p w14:paraId="7A87C07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eastAsia="宋体"/>
                <w:lang w:val="en-US" w:eastAsia="zh-CN"/>
              </w:rPr>
            </w:pPr>
            <w:r>
              <w:rPr>
                <w:rFonts w:hint="eastAsia"/>
                <w:lang w:val="en-US" w:eastAsia="zh-CN"/>
              </w:rPr>
              <w:t>运维服务要求</w:t>
            </w:r>
          </w:p>
        </w:tc>
        <w:tc>
          <w:tcPr>
            <w:tcW w:w="6479" w:type="dxa"/>
          </w:tcPr>
          <w:p w14:paraId="085FF1A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运维服务要求：保证7*24小时客户服务热线，可随时通过电话咨询出现的问题；需要进行远程协助处理问题的，响应时间应在3小时之内；需要工程师上门解决问题的情况下，须接到通知后24小时内到达现场处理。</w:t>
            </w:r>
            <w:bookmarkStart w:id="0" w:name="OLE_LINK1"/>
            <w:r>
              <w:rPr>
                <w:rFonts w:hint="eastAsia" w:ascii="宋体" w:hAnsi="宋体" w:eastAsia="宋体" w:cs="宋体"/>
                <w:color w:val="auto"/>
                <w:sz w:val="24"/>
                <w:highlight w:val="none"/>
              </w:rPr>
              <w:t>后续</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rPr>
              <w:t>维护费</w:t>
            </w:r>
            <w:r>
              <w:rPr>
                <w:rFonts w:hint="eastAsia" w:ascii="宋体" w:hAnsi="宋体" w:eastAsia="宋体" w:cs="宋体"/>
                <w:color w:val="auto"/>
                <w:sz w:val="24"/>
                <w:highlight w:val="none"/>
                <w:lang w:eastAsia="zh-CN"/>
              </w:rPr>
              <w:t>为</w:t>
            </w:r>
            <w:r>
              <w:rPr>
                <w:rFonts w:hint="eastAsia" w:ascii="宋体" w:hAnsi="宋体" w:eastAsia="宋体" w:cs="宋体"/>
                <w:color w:val="auto"/>
                <w:sz w:val="24"/>
                <w:highlight w:val="none"/>
              </w:rPr>
              <w:t>合同总额的</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bookmarkEnd w:id="0"/>
          </w:p>
        </w:tc>
      </w:tr>
      <w:tr w14:paraId="317E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6D68347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Theme="minorEastAsia"/>
                <w:lang w:val="en-US" w:eastAsia="zh-CN"/>
              </w:rPr>
            </w:pPr>
            <w:r>
              <w:rPr>
                <w:rFonts w:hint="eastAsia"/>
                <w:lang w:val="en-US" w:eastAsia="zh-CN"/>
              </w:rPr>
              <w:t>6</w:t>
            </w:r>
          </w:p>
        </w:tc>
        <w:tc>
          <w:tcPr>
            <w:tcW w:w="1329" w:type="dxa"/>
            <w:vAlign w:val="center"/>
          </w:tcPr>
          <w:p w14:paraId="50FF944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知识产权</w:t>
            </w:r>
          </w:p>
        </w:tc>
        <w:tc>
          <w:tcPr>
            <w:tcW w:w="6479" w:type="dxa"/>
          </w:tcPr>
          <w:p w14:paraId="157C835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Cs w:val="21"/>
              </w:rPr>
            </w:pPr>
            <w:r>
              <w:rPr>
                <w:rFonts w:hint="eastAsia" w:ascii="宋体" w:hAnsi="宋体" w:eastAsia="宋体" w:cs="宋体"/>
                <w:szCs w:val="21"/>
              </w:rPr>
              <w:t>成交供应商应保证采购人在使用该服务或其任何一部分时不受第三方提出侵犯其专利权、商标权和设计权的起诉。如果任何第三方提出侵权指控或赔偿要求，成交供应商必须与第三方交涉，并承担发生和可能发生的一切损失、费用和法律责任。</w:t>
            </w:r>
          </w:p>
        </w:tc>
      </w:tr>
      <w:tr w14:paraId="5D23C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63B11F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lang w:val="en-US" w:eastAsia="zh-CN"/>
              </w:rPr>
            </w:pPr>
            <w:r>
              <w:rPr>
                <w:rFonts w:hint="eastAsia" w:ascii="宋体" w:hAnsi="宋体" w:eastAsia="宋体"/>
                <w:lang w:val="en-US" w:eastAsia="zh-CN"/>
              </w:rPr>
              <w:t>7</w:t>
            </w:r>
          </w:p>
        </w:tc>
        <w:tc>
          <w:tcPr>
            <w:tcW w:w="1329" w:type="dxa"/>
            <w:vAlign w:val="center"/>
          </w:tcPr>
          <w:p w14:paraId="27E9E93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rPr>
            </w:pPr>
            <w:r>
              <w:rPr>
                <w:rFonts w:hint="eastAsia" w:ascii="宋体" w:hAnsi="宋体" w:eastAsia="宋体"/>
              </w:rPr>
              <w:t>供应商要求</w:t>
            </w:r>
          </w:p>
        </w:tc>
        <w:tc>
          <w:tcPr>
            <w:tcW w:w="6479" w:type="dxa"/>
          </w:tcPr>
          <w:p w14:paraId="1E7545A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rPr>
            </w:pPr>
            <w:r>
              <w:rPr>
                <w:rFonts w:hint="eastAsia" w:ascii="宋体" w:hAnsi="宋体" w:eastAsia="宋体"/>
              </w:rPr>
              <w:t>产品厂商须</w:t>
            </w:r>
            <w:r>
              <w:rPr>
                <w:rFonts w:hint="eastAsia"/>
                <w:kern w:val="2"/>
                <w:sz w:val="21"/>
                <w:szCs w:val="21"/>
                <w:lang w:bidi="ar"/>
              </w:rPr>
              <w:t>具有有效期内的ISO38505数据治理安全管理体系评价证书、GBT37973大数据服务安全管理体系认证证书、CTS GHMS001隐私信息管理体系认证证书</w:t>
            </w:r>
            <w:r>
              <w:rPr>
                <w:rFonts w:hint="eastAsia" w:ascii="宋体" w:hAnsi="宋体" w:eastAsia="宋体"/>
                <w:lang w:eastAsia="zh-CN"/>
              </w:rPr>
              <w:t>。</w:t>
            </w:r>
          </w:p>
          <w:p w14:paraId="2BA0AFB5">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rPr>
            </w:pPr>
            <w:r>
              <w:rPr>
                <w:rFonts w:hint="eastAsia" w:ascii="宋体" w:hAnsi="宋体" w:eastAsia="宋体"/>
              </w:rPr>
              <w:t>以上材料须加盖投标人公章，原件备查。</w:t>
            </w:r>
          </w:p>
        </w:tc>
      </w:tr>
      <w:tr w14:paraId="55392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09DFD8E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lang w:val="en-US" w:eastAsia="zh-CN"/>
              </w:rPr>
            </w:pPr>
            <w:r>
              <w:rPr>
                <w:rFonts w:hint="eastAsia" w:ascii="宋体" w:hAnsi="宋体" w:eastAsia="宋体"/>
                <w:lang w:val="en-US" w:eastAsia="zh-CN"/>
              </w:rPr>
              <w:t>8</w:t>
            </w:r>
          </w:p>
        </w:tc>
        <w:tc>
          <w:tcPr>
            <w:tcW w:w="1329" w:type="dxa"/>
            <w:vAlign w:val="center"/>
          </w:tcPr>
          <w:p w14:paraId="20D9D17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lang w:val="en-US" w:eastAsia="zh-CN"/>
              </w:rPr>
            </w:pPr>
            <w:r>
              <w:rPr>
                <w:rFonts w:hint="eastAsia" w:ascii="宋体" w:hAnsi="宋体" w:eastAsia="宋体"/>
              </w:rPr>
              <w:t>服务团队</w:t>
            </w:r>
            <w:r>
              <w:rPr>
                <w:rFonts w:hint="eastAsia" w:ascii="宋体" w:hAnsi="宋体" w:eastAsia="宋体"/>
                <w:lang w:val="en-US" w:eastAsia="zh-CN"/>
              </w:rPr>
              <w:t>要求</w:t>
            </w:r>
          </w:p>
        </w:tc>
        <w:tc>
          <w:tcPr>
            <w:tcW w:w="6479" w:type="dxa"/>
          </w:tcPr>
          <w:p w14:paraId="06E28B3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rPr>
            </w:pPr>
            <w:r>
              <w:rPr>
                <w:rFonts w:hint="eastAsia" w:ascii="宋体" w:hAnsi="宋体" w:eastAsia="宋体" w:cs="宋体"/>
                <w:szCs w:val="21"/>
              </w:rPr>
              <w:t>供应商</w:t>
            </w:r>
            <w:r>
              <w:rPr>
                <w:rFonts w:hint="eastAsia" w:ascii="宋体" w:hAnsi="宋体" w:eastAsia="宋体"/>
              </w:rPr>
              <w:t>拟投入的技术服务团队成员具有以下证书：</w:t>
            </w:r>
          </w:p>
          <w:p w14:paraId="558429B7">
            <w:pPr>
              <w:keepNext w:val="0"/>
              <w:keepLines w:val="0"/>
              <w:pageBreakBefore w:val="0"/>
              <w:widowControl w:val="0"/>
              <w:numPr>
                <w:ilvl w:val="0"/>
                <w:numId w:val="4"/>
              </w:numPr>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rPr>
            </w:pPr>
            <w:r>
              <w:rPr>
                <w:rFonts w:hint="eastAsia" w:ascii="宋体" w:hAnsi="宋体" w:eastAsia="宋体"/>
              </w:rPr>
              <w:t>至少一名人员同时具有信息系统项目管理师和系统集成项目管理工程师证书；</w:t>
            </w:r>
          </w:p>
          <w:p w14:paraId="40025B6D">
            <w:pPr>
              <w:keepNext w:val="0"/>
              <w:keepLines w:val="0"/>
              <w:pageBreakBefore w:val="0"/>
              <w:widowControl w:val="0"/>
              <w:numPr>
                <w:ilvl w:val="0"/>
                <w:numId w:val="4"/>
              </w:numPr>
              <w:kinsoku/>
              <w:wordWrap/>
              <w:overflowPunct/>
              <w:topLinePunct w:val="0"/>
              <w:autoSpaceDE w:val="0"/>
              <w:autoSpaceDN w:val="0"/>
              <w:bidi w:val="0"/>
              <w:adjustRightInd/>
              <w:snapToGrid/>
              <w:spacing w:line="240" w:lineRule="auto"/>
              <w:ind w:firstLine="0" w:firstLineChars="0"/>
              <w:textAlignment w:val="auto"/>
              <w:rPr>
                <w:rFonts w:ascii="宋体" w:hAnsi="宋体" w:eastAsia="宋体"/>
              </w:rPr>
            </w:pPr>
            <w:r>
              <w:rPr>
                <w:rFonts w:hint="eastAsia" w:ascii="宋体" w:hAnsi="宋体" w:eastAsia="宋体"/>
              </w:rPr>
              <w:t>至少一名人员同时具有高级大数据应用工程师和系统集成项目管理工程师证书；</w:t>
            </w:r>
          </w:p>
          <w:p w14:paraId="1F88E77A">
            <w:pPr>
              <w:keepNext w:val="0"/>
              <w:keepLines w:val="0"/>
              <w:pageBreakBefore w:val="0"/>
              <w:widowControl w:val="0"/>
              <w:numPr>
                <w:ilvl w:val="0"/>
                <w:numId w:val="4"/>
              </w:numPr>
              <w:kinsoku/>
              <w:wordWrap/>
              <w:overflowPunct/>
              <w:topLinePunct w:val="0"/>
              <w:autoSpaceDE w:val="0"/>
              <w:autoSpaceDN w:val="0"/>
              <w:bidi w:val="0"/>
              <w:adjustRightInd/>
              <w:snapToGrid/>
              <w:spacing w:line="240" w:lineRule="auto"/>
              <w:ind w:firstLine="0" w:firstLineChars="0"/>
              <w:textAlignment w:val="auto"/>
              <w:rPr>
                <w:rFonts w:ascii="宋体" w:hAnsi="宋体" w:eastAsia="宋体"/>
              </w:rPr>
            </w:pPr>
            <w:r>
              <w:rPr>
                <w:rFonts w:hint="eastAsia" w:ascii="宋体" w:hAnsi="宋体" w:eastAsia="宋体"/>
              </w:rPr>
              <w:t>至少一名人员同时具有系统架构设计师和大数据分析师（高级）证书；（4）至少一名人员具有</w:t>
            </w:r>
            <w:r>
              <w:rPr>
                <w:rFonts w:hint="eastAsia" w:ascii="宋体" w:hAnsi="宋体" w:eastAsia="宋体"/>
                <w:lang w:val="en-US" w:eastAsia="zh-CN"/>
              </w:rPr>
              <w:t>信息安全管理（高级）</w:t>
            </w:r>
            <w:r>
              <w:rPr>
                <w:rFonts w:hint="eastAsia" w:ascii="宋体" w:hAnsi="宋体" w:eastAsia="宋体"/>
              </w:rPr>
              <w:t>证书的。</w:t>
            </w:r>
          </w:p>
          <w:p w14:paraId="56C4377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0" w:firstLineChars="0"/>
              <w:textAlignment w:val="auto"/>
              <w:rPr>
                <w:rFonts w:ascii="宋体" w:hAnsi="宋体" w:eastAsia="宋体"/>
              </w:rPr>
            </w:pPr>
            <w:r>
              <w:rPr>
                <w:rFonts w:hint="eastAsia" w:ascii="宋体" w:hAnsi="宋体" w:eastAsia="宋体"/>
              </w:rPr>
              <w:t>本项提供的人员与其他项人员不得重复提供。须提供相关资质证书复印件、竞价截止时间前三个月(不含投标截止时间的当月)中任一月份的社会保险缴纳凭据复印件；以上材料须加盖投标人公章，原件备查。</w:t>
            </w:r>
          </w:p>
        </w:tc>
      </w:tr>
      <w:tr w14:paraId="3D71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0167EC0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lang w:val="en-US" w:eastAsia="zh-CN"/>
              </w:rPr>
            </w:pPr>
            <w:r>
              <w:rPr>
                <w:rFonts w:hint="eastAsia" w:ascii="宋体" w:hAnsi="宋体" w:eastAsia="宋体"/>
                <w:lang w:val="en-US" w:eastAsia="zh-CN"/>
              </w:rPr>
              <w:t>9</w:t>
            </w:r>
          </w:p>
        </w:tc>
        <w:tc>
          <w:tcPr>
            <w:tcW w:w="1329" w:type="dxa"/>
            <w:vAlign w:val="center"/>
          </w:tcPr>
          <w:p w14:paraId="484F6C2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lang w:val="en-US" w:eastAsia="zh-CN"/>
              </w:rPr>
            </w:pPr>
            <w:r>
              <w:rPr>
                <w:rFonts w:hint="eastAsia" w:ascii="宋体" w:hAnsi="宋体" w:eastAsia="宋体"/>
              </w:rPr>
              <w:t>专家团队</w:t>
            </w:r>
            <w:r>
              <w:rPr>
                <w:rFonts w:hint="eastAsia" w:ascii="宋体" w:hAnsi="宋体" w:eastAsia="宋体"/>
                <w:lang w:val="en-US" w:eastAsia="zh-CN"/>
              </w:rPr>
              <w:t>要求</w:t>
            </w:r>
          </w:p>
        </w:tc>
        <w:tc>
          <w:tcPr>
            <w:tcW w:w="6479" w:type="dxa"/>
          </w:tcPr>
          <w:p w14:paraId="09F4E61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eastAsia="宋体"/>
              </w:rPr>
            </w:pPr>
            <w:r>
              <w:rPr>
                <w:rFonts w:hint="eastAsia" w:ascii="宋体" w:hAnsi="宋体" w:eastAsia="宋体" w:cs="宋体"/>
                <w:szCs w:val="21"/>
              </w:rPr>
              <w:t>供应商</w:t>
            </w:r>
            <w:r>
              <w:rPr>
                <w:rFonts w:hint="eastAsia" w:ascii="宋体" w:hAnsi="宋体" w:eastAsia="宋体"/>
              </w:rPr>
              <w:t>拟投入的专家顾问团队具有以下证书：</w:t>
            </w:r>
          </w:p>
          <w:p w14:paraId="40E56801">
            <w:pPr>
              <w:keepNext w:val="0"/>
              <w:keepLines w:val="0"/>
              <w:pageBreakBefore w:val="0"/>
              <w:widowControl w:val="0"/>
              <w:numPr>
                <w:ilvl w:val="0"/>
                <w:numId w:val="5"/>
              </w:numPr>
              <w:kinsoku/>
              <w:wordWrap/>
              <w:overflowPunct/>
              <w:topLinePunct w:val="0"/>
              <w:autoSpaceDE w:val="0"/>
              <w:autoSpaceDN w:val="0"/>
              <w:bidi w:val="0"/>
              <w:adjustRightInd/>
              <w:snapToGrid/>
              <w:spacing w:line="240" w:lineRule="auto"/>
              <w:ind w:firstLine="0" w:firstLineChars="0"/>
              <w:textAlignment w:val="auto"/>
              <w:rPr>
                <w:rFonts w:ascii="宋体" w:hAnsi="宋体" w:eastAsia="宋体"/>
              </w:rPr>
            </w:pPr>
            <w:r>
              <w:rPr>
                <w:rFonts w:hint="eastAsia" w:ascii="宋体" w:hAnsi="宋体" w:eastAsia="宋体"/>
              </w:rPr>
              <w:t>具有一名医师执业证书、医师资格证书和中西医结合专业高级职称(含副高级)</w:t>
            </w:r>
            <w:r>
              <w:rPr>
                <w:rFonts w:hint="eastAsia" w:ascii="宋体" w:hAnsi="宋体" w:eastAsia="宋体"/>
                <w:lang w:eastAsia="zh-CN"/>
              </w:rPr>
              <w:t>；</w:t>
            </w:r>
          </w:p>
          <w:p w14:paraId="5D94F61B">
            <w:pPr>
              <w:keepNext w:val="0"/>
              <w:keepLines w:val="0"/>
              <w:pageBreakBefore w:val="0"/>
              <w:widowControl w:val="0"/>
              <w:numPr>
                <w:ilvl w:val="0"/>
                <w:numId w:val="5"/>
              </w:numPr>
              <w:kinsoku/>
              <w:wordWrap/>
              <w:overflowPunct/>
              <w:topLinePunct w:val="0"/>
              <w:autoSpaceDE w:val="0"/>
              <w:autoSpaceDN w:val="0"/>
              <w:bidi w:val="0"/>
              <w:adjustRightInd/>
              <w:snapToGrid/>
              <w:spacing w:line="240" w:lineRule="auto"/>
              <w:ind w:firstLine="0" w:firstLineChars="0"/>
              <w:textAlignment w:val="auto"/>
              <w:rPr>
                <w:rFonts w:ascii="宋体" w:hAnsi="宋体" w:eastAsia="宋体"/>
              </w:rPr>
            </w:pPr>
            <w:r>
              <w:rPr>
                <w:rFonts w:hint="eastAsia" w:ascii="宋体" w:hAnsi="宋体" w:eastAsia="宋体"/>
              </w:rPr>
              <w:t>具有一名中级药学专业职称</w:t>
            </w:r>
            <w:r>
              <w:rPr>
                <w:rFonts w:hint="eastAsia" w:ascii="宋体" w:hAnsi="宋体" w:eastAsia="宋体"/>
                <w:lang w:eastAsia="zh-CN"/>
              </w:rPr>
              <w:t>；</w:t>
            </w:r>
          </w:p>
          <w:p w14:paraId="73F0A694">
            <w:pPr>
              <w:keepNext w:val="0"/>
              <w:keepLines w:val="0"/>
              <w:pageBreakBefore w:val="0"/>
              <w:widowControl w:val="0"/>
              <w:numPr>
                <w:ilvl w:val="0"/>
                <w:numId w:val="5"/>
              </w:numPr>
              <w:kinsoku/>
              <w:wordWrap/>
              <w:overflowPunct/>
              <w:topLinePunct w:val="0"/>
              <w:autoSpaceDE w:val="0"/>
              <w:autoSpaceDN w:val="0"/>
              <w:bidi w:val="0"/>
              <w:adjustRightInd/>
              <w:snapToGrid/>
              <w:spacing w:line="240" w:lineRule="auto"/>
              <w:ind w:firstLine="0" w:firstLineChars="0"/>
              <w:textAlignment w:val="auto"/>
              <w:rPr>
                <w:rFonts w:ascii="宋体" w:hAnsi="宋体" w:eastAsia="宋体"/>
              </w:rPr>
            </w:pPr>
            <w:r>
              <w:rPr>
                <w:rFonts w:hint="eastAsia" w:ascii="宋体" w:hAnsi="宋体" w:eastAsia="宋体"/>
              </w:rPr>
              <w:t>具有一名高级统计师职称</w:t>
            </w:r>
            <w:r>
              <w:rPr>
                <w:rFonts w:hint="eastAsia" w:ascii="宋体" w:hAnsi="宋体" w:eastAsia="宋体"/>
                <w:lang w:eastAsia="zh-CN"/>
              </w:rPr>
              <w:t>；</w:t>
            </w:r>
          </w:p>
          <w:p w14:paraId="64DFF9B3">
            <w:pPr>
              <w:keepNext w:val="0"/>
              <w:keepLines w:val="0"/>
              <w:pageBreakBefore w:val="0"/>
              <w:widowControl w:val="0"/>
              <w:numPr>
                <w:ilvl w:val="0"/>
                <w:numId w:val="5"/>
              </w:numPr>
              <w:kinsoku/>
              <w:wordWrap/>
              <w:overflowPunct/>
              <w:topLinePunct w:val="0"/>
              <w:autoSpaceDE w:val="0"/>
              <w:autoSpaceDN w:val="0"/>
              <w:bidi w:val="0"/>
              <w:adjustRightInd/>
              <w:snapToGrid/>
              <w:spacing w:line="240" w:lineRule="auto"/>
              <w:ind w:firstLine="0" w:firstLineChars="0"/>
              <w:textAlignment w:val="auto"/>
              <w:rPr>
                <w:rFonts w:ascii="宋体" w:hAnsi="宋体" w:eastAsia="宋体"/>
              </w:rPr>
            </w:pPr>
            <w:r>
              <w:rPr>
                <w:rFonts w:hint="eastAsia" w:ascii="宋体" w:hAnsi="宋体" w:eastAsia="宋体"/>
              </w:rPr>
              <w:t>具有一名高级会计师职称。</w:t>
            </w:r>
          </w:p>
          <w:p w14:paraId="29E56B9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0" w:firstLineChars="0"/>
              <w:textAlignment w:val="auto"/>
              <w:rPr>
                <w:rFonts w:ascii="宋体" w:hAnsi="宋体" w:eastAsia="宋体"/>
              </w:rPr>
            </w:pPr>
            <w:r>
              <w:rPr>
                <w:rFonts w:hint="eastAsia" w:ascii="宋体" w:hAnsi="宋体" w:eastAsia="宋体"/>
              </w:rPr>
              <w:t>提供该人员专家职称证书复印件、以及专家聘用协议复印件（需有双方签章）。专家成员与其他成员不得重复</w:t>
            </w:r>
            <w:r>
              <w:rPr>
                <w:rFonts w:hint="eastAsia" w:ascii="宋体" w:hAnsi="宋体" w:eastAsia="宋体"/>
                <w:lang w:eastAsia="zh-CN"/>
              </w:rPr>
              <w:t>，</w:t>
            </w:r>
            <w:r>
              <w:rPr>
                <w:rFonts w:hint="eastAsia" w:ascii="宋体" w:hAnsi="宋体" w:eastAsia="宋体"/>
              </w:rPr>
              <w:t>上材料须加盖投标人公章，原件备查。</w:t>
            </w:r>
          </w:p>
        </w:tc>
      </w:tr>
      <w:tr w14:paraId="51A6C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4252025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329" w:type="dxa"/>
            <w:vAlign w:val="center"/>
          </w:tcPr>
          <w:p w14:paraId="10BE837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lang w:val="en-US" w:eastAsia="zh-CN"/>
              </w:rPr>
            </w:pPr>
            <w:r>
              <w:rPr>
                <w:rFonts w:hint="eastAsia" w:ascii="宋体" w:hAnsi="宋体" w:eastAsia="宋体" w:cs="宋体"/>
                <w:szCs w:val="21"/>
              </w:rPr>
              <w:t>产品合法性</w:t>
            </w:r>
            <w:r>
              <w:rPr>
                <w:rFonts w:hint="eastAsia" w:ascii="宋体" w:hAnsi="宋体" w:eastAsia="宋体" w:cs="宋体"/>
                <w:szCs w:val="21"/>
                <w:lang w:val="en-US" w:eastAsia="zh-CN"/>
              </w:rPr>
              <w:t>要求</w:t>
            </w:r>
          </w:p>
        </w:tc>
        <w:tc>
          <w:tcPr>
            <w:tcW w:w="6479" w:type="dxa"/>
            <w:vAlign w:val="center"/>
          </w:tcPr>
          <w:p w14:paraId="364D13D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szCs w:val="21"/>
              </w:rPr>
            </w:pPr>
            <w:r>
              <w:rPr>
                <w:rFonts w:hint="eastAsia" w:ascii="宋体" w:hAnsi="宋体" w:eastAsia="宋体" w:cs="宋体"/>
                <w:szCs w:val="21"/>
              </w:rPr>
              <w:t>1.供应商所投的病种分值付费结算管理信息系统具有《软件产品测试报告》，提供测试报告复印件或扫描件，并加盖供应商公章</w:t>
            </w:r>
            <w:r>
              <w:rPr>
                <w:rFonts w:hint="eastAsia" w:ascii="宋体" w:hAnsi="宋体" w:eastAsia="宋体" w:cs="宋体"/>
                <w:szCs w:val="21"/>
                <w:lang w:eastAsia="zh-CN"/>
              </w:rPr>
              <w:t>，</w:t>
            </w:r>
            <w:r>
              <w:rPr>
                <w:rFonts w:hint="eastAsia" w:ascii="宋体" w:hAnsi="宋体" w:eastAsia="宋体"/>
              </w:rPr>
              <w:t>原件备查</w:t>
            </w:r>
            <w:r>
              <w:rPr>
                <w:rFonts w:hint="eastAsia" w:ascii="宋体" w:hAnsi="宋体" w:eastAsia="宋体" w:cs="宋体"/>
                <w:szCs w:val="21"/>
              </w:rPr>
              <w:t>。</w:t>
            </w:r>
          </w:p>
          <w:p w14:paraId="311F16C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宋体" w:hAnsi="宋体" w:eastAsia="宋体" w:cs="宋体"/>
                <w:szCs w:val="21"/>
                <w:lang w:val="en-US" w:eastAsia="zh-CN"/>
              </w:rPr>
            </w:pPr>
            <w:r>
              <w:rPr>
                <w:rFonts w:hint="eastAsia" w:ascii="宋体" w:hAnsi="宋体" w:eastAsia="宋体" w:cs="宋体"/>
                <w:szCs w:val="21"/>
              </w:rPr>
              <w:t>2.供应商具有“医保病种分值付费结算管理信息类”</w:t>
            </w:r>
            <w:r>
              <w:rPr>
                <w:rFonts w:hint="eastAsia" w:ascii="宋体" w:hAnsi="宋体" w:eastAsia="宋体" w:cs="宋体"/>
                <w:szCs w:val="21"/>
                <w:lang w:val="en-US" w:eastAsia="zh-CN"/>
              </w:rPr>
              <w:t>软件产品</w:t>
            </w:r>
            <w:r>
              <w:rPr>
                <w:rFonts w:hint="eastAsia" w:ascii="宋体" w:hAnsi="宋体" w:eastAsia="宋体" w:cs="宋体"/>
                <w:szCs w:val="21"/>
              </w:rPr>
              <w:t>证书提供证书复印件或扫描件，并加盖供应商公章</w:t>
            </w:r>
            <w:r>
              <w:rPr>
                <w:rFonts w:hint="eastAsia" w:ascii="宋体" w:hAnsi="宋体" w:eastAsia="宋体" w:cs="宋体"/>
                <w:szCs w:val="21"/>
                <w:lang w:eastAsia="zh-CN"/>
              </w:rPr>
              <w:t>，</w:t>
            </w:r>
            <w:r>
              <w:rPr>
                <w:rFonts w:hint="eastAsia" w:ascii="宋体" w:hAnsi="宋体" w:eastAsia="宋体"/>
              </w:rPr>
              <w:t>原件备查</w:t>
            </w:r>
            <w:r>
              <w:rPr>
                <w:rFonts w:hint="eastAsia" w:ascii="宋体" w:hAnsi="宋体" w:eastAsia="宋体" w:cs="宋体"/>
                <w:szCs w:val="21"/>
              </w:rPr>
              <w:t>。</w:t>
            </w:r>
          </w:p>
        </w:tc>
      </w:tr>
      <w:tr w14:paraId="31AC3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101C3EF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11</w:t>
            </w:r>
          </w:p>
        </w:tc>
        <w:tc>
          <w:tcPr>
            <w:tcW w:w="1329" w:type="dxa"/>
            <w:vAlign w:val="center"/>
          </w:tcPr>
          <w:p w14:paraId="5B3BABF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履约保证金</w:t>
            </w:r>
          </w:p>
        </w:tc>
        <w:tc>
          <w:tcPr>
            <w:tcW w:w="6479" w:type="dxa"/>
            <w:vAlign w:val="center"/>
          </w:tcPr>
          <w:p w14:paraId="27DEEE4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按合同总金额的5%缴纳履约保证金，履约保证金由采购人收取。履约保证金以银行转账（电汇）、支票、汇票、本票或者金融机构、担保机构出具的保函等非现金形式提交，项目竣工验收合格无异议后，采购人收到成交供应商退还申请一个月内,不计利息原路退还。</w:t>
            </w:r>
          </w:p>
        </w:tc>
      </w:tr>
      <w:tr w14:paraId="47DFB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vAlign w:val="center"/>
          </w:tcPr>
          <w:p w14:paraId="639ECE7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宋体" w:hAnsi="宋体" w:eastAsia="宋体" w:cs="宋体"/>
                <w:sz w:val="24"/>
                <w:szCs w:val="21"/>
                <w:lang w:val="en-US" w:eastAsia="zh-CN" w:bidi="ar-SA"/>
              </w:rPr>
            </w:pPr>
            <w:r>
              <w:rPr>
                <w:rFonts w:hint="eastAsia" w:ascii="宋体" w:hAnsi="宋体" w:eastAsia="宋体" w:cs="宋体"/>
                <w:szCs w:val="21"/>
                <w:lang w:val="en-US" w:eastAsia="zh-CN"/>
              </w:rPr>
              <w:t>1</w:t>
            </w:r>
            <w:r>
              <w:rPr>
                <w:rFonts w:hint="eastAsia" w:cs="宋体"/>
                <w:szCs w:val="21"/>
                <w:lang w:val="en-US" w:eastAsia="zh-CN"/>
              </w:rPr>
              <w:t>2</w:t>
            </w:r>
          </w:p>
        </w:tc>
        <w:tc>
          <w:tcPr>
            <w:tcW w:w="1329" w:type="dxa"/>
            <w:vAlign w:val="center"/>
          </w:tcPr>
          <w:p w14:paraId="11E8522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sz w:val="24"/>
                <w:szCs w:val="21"/>
                <w:lang w:val="en-US" w:eastAsia="zh-CN" w:bidi="ar-SA"/>
              </w:rPr>
            </w:pPr>
            <w:r>
              <w:rPr>
                <w:rFonts w:hint="eastAsia" w:ascii="宋体" w:hAnsi="宋体" w:eastAsia="宋体" w:cs="宋体"/>
                <w:szCs w:val="21"/>
                <w:lang w:val="en-US" w:eastAsia="zh-CN"/>
              </w:rPr>
              <w:t>商务其他要求</w:t>
            </w:r>
          </w:p>
        </w:tc>
        <w:tc>
          <w:tcPr>
            <w:tcW w:w="6479" w:type="dxa"/>
            <w:vAlign w:val="center"/>
          </w:tcPr>
          <w:p w14:paraId="1E03264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参与本项目竞价活动</w:t>
            </w:r>
            <w:r>
              <w:rPr>
                <w:rFonts w:hint="eastAsia" w:cs="宋体"/>
                <w:color w:val="auto"/>
                <w:szCs w:val="21"/>
                <w:lang w:eastAsia="zh-CN"/>
              </w:rPr>
              <w:t>的</w:t>
            </w:r>
            <w:r>
              <w:rPr>
                <w:rFonts w:hint="eastAsia" w:cs="宋体"/>
                <w:color w:val="auto"/>
                <w:szCs w:val="21"/>
                <w:lang w:val="en-US" w:eastAsia="zh-CN"/>
              </w:rPr>
              <w:t>投标报价包含接口费。</w:t>
            </w:r>
          </w:p>
          <w:p w14:paraId="436E23D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Cs w:val="21"/>
              </w:rPr>
            </w:pPr>
            <w:r>
              <w:rPr>
                <w:rFonts w:hint="eastAsia" w:cs="宋体"/>
                <w:color w:val="auto"/>
                <w:szCs w:val="21"/>
                <w:lang w:val="en-US" w:eastAsia="zh-CN"/>
              </w:rPr>
              <w:t>2、</w:t>
            </w:r>
            <w:r>
              <w:rPr>
                <w:rFonts w:hint="eastAsia" w:ascii="宋体" w:hAnsi="宋体" w:eastAsia="宋体" w:cs="宋体"/>
                <w:color w:val="auto"/>
                <w:szCs w:val="21"/>
              </w:rPr>
              <w:t>参与本项目竞价活动的投标供应商需充分了解本项目的需求，对采购需求中的资格要求、所有技术要求和商务要求做出实质性响应， 按要求提供相应的竞价材料，包含但不限于资格证明材料及其他要求提供的佐证材料，上传响应文件并加盖投标供应商公章，未提供、未</w:t>
            </w:r>
            <w:r>
              <w:rPr>
                <w:rFonts w:hint="eastAsia" w:ascii="宋体" w:hAnsi="宋体" w:eastAsia="宋体" w:cs="宋体"/>
                <w:color w:val="auto"/>
                <w:szCs w:val="21"/>
                <w:lang w:val="en-US" w:eastAsia="zh-CN"/>
              </w:rPr>
              <w:t>完全</w:t>
            </w:r>
            <w:r>
              <w:rPr>
                <w:rFonts w:hint="eastAsia" w:ascii="宋体" w:hAnsi="宋体" w:eastAsia="宋体" w:cs="宋体"/>
                <w:color w:val="auto"/>
                <w:szCs w:val="21"/>
              </w:rPr>
              <w:t>响应都将做无效竞价处理，对于虚假恶意竞价应标的行为保留对该供应商追究相关法律责任的权利。</w:t>
            </w:r>
          </w:p>
          <w:p w14:paraId="08AD099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1"/>
                <w:lang w:val="en-US" w:eastAsia="zh-CN" w:bidi="ar-SA"/>
              </w:rPr>
            </w:pPr>
            <w:r>
              <w:rPr>
                <w:rFonts w:hint="eastAsia" w:cs="宋体"/>
                <w:color w:val="auto"/>
                <w:szCs w:val="21"/>
                <w:lang w:val="en-US" w:eastAsia="zh-CN"/>
              </w:rPr>
              <w:t>3</w:t>
            </w:r>
            <w:r>
              <w:rPr>
                <w:rFonts w:hint="eastAsia" w:ascii="宋体" w:hAnsi="宋体" w:eastAsia="宋体" w:cs="宋体"/>
                <w:color w:val="auto"/>
                <w:szCs w:val="21"/>
                <w:lang w:val="en-US" w:eastAsia="zh-CN"/>
              </w:rPr>
              <w:t>、</w:t>
            </w:r>
            <w:r>
              <w:rPr>
                <w:rFonts w:hint="eastAsia" w:ascii="宋体" w:hAnsi="宋体" w:eastAsia="宋体" w:cs="宋体"/>
                <w:color w:val="auto"/>
                <w:szCs w:val="21"/>
              </w:rPr>
              <w:t>成交供应商需在中标结果公示后2个工作日内携带相关原件抵达采购方指定地点接受核查。如核查材料不符合采购公告要求则视为无效</w:t>
            </w:r>
            <w:r>
              <w:rPr>
                <w:rFonts w:hint="eastAsia" w:ascii="宋体" w:hAnsi="宋体" w:eastAsia="宋体" w:cs="宋体"/>
                <w:color w:val="auto"/>
                <w:szCs w:val="21"/>
                <w:lang w:val="en-US" w:eastAsia="zh-CN"/>
              </w:rPr>
              <w:t>报价。</w:t>
            </w:r>
          </w:p>
        </w:tc>
      </w:tr>
    </w:tbl>
    <w:p w14:paraId="6C4409EA">
      <w:pPr>
        <w:ind w:firstLine="480"/>
        <w:rPr>
          <w:rFonts w:hint="eastAsia"/>
        </w:rPr>
      </w:pPr>
    </w:p>
    <w:p w14:paraId="3D13A748">
      <w:pPr>
        <w:pStyle w:val="3"/>
        <w:rPr>
          <w:rFonts w:hint="eastAsia"/>
        </w:rPr>
      </w:pPr>
      <w:r>
        <w:rPr>
          <w:rFonts w:hint="eastAsia"/>
        </w:rPr>
        <w:t>其他</w:t>
      </w:r>
      <w:r>
        <w:t>要求</w:t>
      </w:r>
    </w:p>
    <w:p w14:paraId="442EE089">
      <w:pPr>
        <w:autoSpaceDE/>
        <w:autoSpaceDN/>
        <w:ind w:firstLine="480"/>
        <w:rPr>
          <w:rFonts w:hint="eastAsia" w:cstheme="minorEastAsia"/>
          <w:color w:val="333333"/>
          <w:szCs w:val="24"/>
          <w:shd w:val="clear" w:color="auto" w:fill="FFFFFF"/>
        </w:rPr>
      </w:pPr>
      <w:r>
        <w:rPr>
          <w:rFonts w:hint="eastAsia" w:cstheme="minorEastAsia"/>
          <w:color w:val="333333"/>
          <w:szCs w:val="24"/>
          <w:shd w:val="clear" w:color="auto" w:fill="FFFFFF"/>
        </w:rPr>
        <w:t>为确保成交供应商所投产品符合第</w:t>
      </w:r>
      <w:r>
        <w:rPr>
          <w:rFonts w:hint="eastAsia" w:cstheme="minorEastAsia"/>
          <w:color w:val="333333"/>
          <w:szCs w:val="24"/>
          <w:shd w:val="clear" w:color="auto" w:fill="FFFFFF"/>
          <w:lang w:val="en-US" w:eastAsia="zh-CN"/>
        </w:rPr>
        <w:t>三</w:t>
      </w:r>
      <w:r>
        <w:rPr>
          <w:rFonts w:hint="eastAsia" w:cstheme="minorEastAsia"/>
          <w:color w:val="333333"/>
          <w:szCs w:val="24"/>
          <w:shd w:val="clear" w:color="auto" w:fill="FFFFFF"/>
        </w:rPr>
        <w:t>章采购需求中的</w:t>
      </w:r>
      <w:r>
        <w:rPr>
          <w:rFonts w:hint="eastAsia" w:cstheme="minorEastAsia"/>
          <w:color w:val="333333"/>
          <w:szCs w:val="24"/>
          <w:shd w:val="clear" w:color="auto" w:fill="FFFFFF"/>
          <w:lang w:val="en-US" w:eastAsia="zh-CN"/>
        </w:rPr>
        <w:t>2</w:t>
      </w:r>
      <w:r>
        <w:rPr>
          <w:rFonts w:hint="eastAsia" w:cstheme="minorEastAsia"/>
          <w:color w:val="333333"/>
          <w:szCs w:val="24"/>
          <w:shd w:val="clear" w:color="auto" w:fill="FFFFFF"/>
        </w:rPr>
        <w:t>、DIP精细化管理平台和</w:t>
      </w:r>
      <w:r>
        <w:rPr>
          <w:rFonts w:hint="eastAsia" w:cstheme="minorEastAsia"/>
          <w:color w:val="333333"/>
          <w:szCs w:val="24"/>
          <w:shd w:val="clear" w:color="auto" w:fill="FFFFFF"/>
          <w:lang w:val="en-US" w:eastAsia="zh-CN"/>
        </w:rPr>
        <w:t>3</w:t>
      </w:r>
      <w:r>
        <w:rPr>
          <w:rFonts w:hint="eastAsia" w:cstheme="minorEastAsia"/>
          <w:color w:val="333333"/>
          <w:szCs w:val="24"/>
          <w:shd w:val="clear" w:color="auto" w:fill="FFFFFF"/>
        </w:rPr>
        <w:t>、智能审核功能模块要求，成交供应商需在中标结果公示后2个工作日内向采购人进行产品功能现场演示，演示达不到采购功能要求或者按规定时间内不到现场演示的，采购人有权取消中标资格。</w:t>
      </w:r>
    </w:p>
    <w:p w14:paraId="0F59AFCC">
      <w:pPr>
        <w:ind w:firstLine="0" w:firstLineChars="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D9555">
    <w:pPr>
      <w:pStyle w:val="12"/>
      <w:ind w:left="0" w:leftChars="0" w:firstLine="0" w:firstLineChars="0"/>
      <w:jc w:val="center"/>
      <w:rPr>
        <w:rFonts w:hint="default" w:eastAsia="宋体"/>
        <w:lang w:val="en-US" w:eastAsia="zh-CN"/>
      </w:rPr>
    </w:pPr>
    <w:r>
      <w:rPr>
        <w:rFonts w:hint="eastAsia"/>
        <w:lang w:val="en-US" w:eastAsia="zh-CN"/>
      </w:rPr>
      <w:t>第</w:t>
    </w: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t>页/共</w:t>
    </w:r>
    <w:r>
      <w:rPr>
        <w:rFonts w:hint="eastAsia"/>
        <w:lang w:val="en-US" w:eastAsia="zh-CN"/>
      </w:rPr>
      <w:fldChar w:fldCharType="begin"/>
    </w:r>
    <w:r>
      <w:rPr>
        <w:rFonts w:hint="eastAsia"/>
        <w:lang w:val="en-US" w:eastAsia="zh-CN"/>
      </w:rPr>
      <w:instrText xml:space="preserve"> SECTIONPAGES \* MERGEFORMAT </w:instrText>
    </w:r>
    <w:r>
      <w:rPr>
        <w:rFonts w:hint="eastAsia"/>
        <w:lang w:val="en-US" w:eastAsia="zh-CN"/>
      </w:rPr>
      <w:fldChar w:fldCharType="separate"/>
    </w:r>
    <w:r>
      <w:rPr>
        <w:rFonts w:hint="eastAsia"/>
        <w:lang w:val="en-US" w:eastAsia="zh-CN"/>
      </w:rPr>
      <w:t>10</w:t>
    </w:r>
    <w:r>
      <w:rPr>
        <w:rFonts w:hint="eastAsia"/>
        <w:lang w:val="en-US" w:eastAsia="zh-CN"/>
      </w:rPr>
      <w:fldChar w:fldCharType="end"/>
    </w:r>
    <w:r>
      <w:rPr>
        <w:rFonts w:hint="eastAsia"/>
        <w:lang w:val="en-US" w:eastAsia="zh-CN"/>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204F">
    <w:pPr>
      <w:pStyle w:val="1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7B0A">
    <w:pPr>
      <w:pStyle w:val="12"/>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C4229">
    <w:pPr>
      <w:pStyle w:val="1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60203">
    <w:pPr>
      <w:pStyle w:val="1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379EF">
    <w:pPr>
      <w:pStyle w:val="13"/>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47F15"/>
    <w:multiLevelType w:val="singleLevel"/>
    <w:tmpl w:val="E3947F15"/>
    <w:lvl w:ilvl="0" w:tentative="0">
      <w:start w:val="1"/>
      <w:numFmt w:val="decimal"/>
      <w:suff w:val="nothing"/>
      <w:lvlText w:val="(%1)"/>
      <w:lvlJc w:val="left"/>
      <w:pPr>
        <w:ind w:left="0" w:firstLine="0"/>
      </w:pPr>
      <w:rPr>
        <w:rFonts w:hint="default"/>
      </w:rPr>
    </w:lvl>
  </w:abstractNum>
  <w:abstractNum w:abstractNumId="1">
    <w:nsid w:val="E55955EC"/>
    <w:multiLevelType w:val="multilevel"/>
    <w:tmpl w:val="E55955EC"/>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372D366D"/>
    <w:multiLevelType w:val="singleLevel"/>
    <w:tmpl w:val="372D366D"/>
    <w:lvl w:ilvl="0" w:tentative="0">
      <w:start w:val="1"/>
      <w:numFmt w:val="decimal"/>
      <w:suff w:val="nothing"/>
      <w:lvlText w:val="（%1）"/>
      <w:lvlJc w:val="left"/>
    </w:lvl>
  </w:abstractNum>
  <w:abstractNum w:abstractNumId="3">
    <w:nsid w:val="4A2249D5"/>
    <w:multiLevelType w:val="multilevel"/>
    <w:tmpl w:val="4A2249D5"/>
    <w:lvl w:ilvl="0" w:tentative="0">
      <w:start w:val="1"/>
      <w:numFmt w:val="koreanDigital2"/>
      <w:pStyle w:val="37"/>
      <w:suff w:val="nothing"/>
      <w:lvlText w:val="%1、"/>
      <w:lvlJc w:val="left"/>
      <w:pPr>
        <w:ind w:left="0" w:firstLine="0"/>
      </w:pPr>
      <w:rPr>
        <w:rFonts w:hint="eastAsia" w:ascii="宋体" w:eastAsia="宋体"/>
        <w:b/>
        <w:i w:val="0"/>
        <w:sz w:val="28"/>
      </w:rPr>
    </w:lvl>
    <w:lvl w:ilvl="1" w:tentative="0">
      <w:start w:val="1"/>
      <w:numFmt w:val="decimal"/>
      <w:pStyle w:val="31"/>
      <w:isLgl/>
      <w:suff w:val="space"/>
      <w:lvlText w:val="%1.%2"/>
      <w:lvlJc w:val="left"/>
      <w:pPr>
        <w:ind w:left="0" w:firstLine="0"/>
      </w:pPr>
      <w:rPr>
        <w:rFonts w:hint="eastAsia" w:ascii="宋体" w:eastAsia="宋体"/>
        <w:b/>
        <w:i w:val="0"/>
        <w:sz w:val="28"/>
        <w:szCs w:val="24"/>
      </w:rPr>
    </w:lvl>
    <w:lvl w:ilvl="2" w:tentative="0">
      <w:start w:val="1"/>
      <w:numFmt w:val="decimal"/>
      <w:pStyle w:val="34"/>
      <w:isLgl/>
      <w:suff w:val="space"/>
      <w:lvlText w:val="%1.%2.%3"/>
      <w:lvlJc w:val="left"/>
      <w:pPr>
        <w:ind w:left="0" w:firstLine="0"/>
      </w:pPr>
      <w:rPr>
        <w:rFonts w:hint="eastAsia" w:ascii="宋体" w:eastAsia="宋体"/>
        <w:b/>
        <w:i w:val="0"/>
        <w:sz w:val="28"/>
      </w:rPr>
    </w:lvl>
    <w:lvl w:ilvl="3" w:tentative="0">
      <w:start w:val="1"/>
      <w:numFmt w:val="decimal"/>
      <w:pStyle w:val="35"/>
      <w:isLgl/>
      <w:suff w:val="space"/>
      <w:lvlText w:val="%1.%2.%3.%4"/>
      <w:lvlJc w:val="left"/>
      <w:pPr>
        <w:ind w:left="0" w:firstLine="0"/>
      </w:pPr>
      <w:rPr>
        <w:rFonts w:hint="eastAsia" w:ascii="宋体" w:eastAsia="宋体"/>
        <w:b/>
        <w:i w:val="0"/>
        <w:sz w:val="28"/>
        <w:szCs w:val="28"/>
      </w:rPr>
    </w:lvl>
    <w:lvl w:ilvl="4" w:tentative="0">
      <w:start w:val="1"/>
      <w:numFmt w:val="decimal"/>
      <w:pStyle w:val="36"/>
      <w:isLgl/>
      <w:suff w:val="space"/>
      <w:lvlText w:val="%1.%2.%3.%4.%5"/>
      <w:lvlJc w:val="left"/>
      <w:pPr>
        <w:ind w:left="0" w:firstLine="0"/>
      </w:pPr>
      <w:rPr>
        <w:rFonts w:hint="eastAsia" w:ascii="宋体" w:eastAsia="宋体"/>
        <w:b/>
        <w:i w:val="0"/>
        <w:sz w:val="28"/>
      </w:rPr>
    </w:lvl>
    <w:lvl w:ilvl="5" w:tentative="0">
      <w:start w:val="1"/>
      <w:numFmt w:val="decimal"/>
      <w:pStyle w:val="32"/>
      <w:isLgl/>
      <w:suff w:val="space"/>
      <w:lvlText w:val="%1.%2.%3.%4.%5.%6"/>
      <w:lvlJc w:val="left"/>
      <w:pPr>
        <w:ind w:left="0" w:firstLine="0"/>
      </w:pPr>
      <w:rPr>
        <w:rFonts w:hint="eastAsia" w:ascii="宋体" w:eastAsia="宋体"/>
        <w:b/>
        <w:i w:val="0"/>
        <w:sz w:val="28"/>
        <w:szCs w:val="28"/>
      </w:rPr>
    </w:lvl>
    <w:lvl w:ilvl="6" w:tentative="0">
      <w:start w:val="1"/>
      <w:numFmt w:val="decimal"/>
      <w:pStyle w:val="33"/>
      <w:isLgl/>
      <w:suff w:val="space"/>
      <w:lvlText w:val="%1.%2.%3.%4.%5.%6.%7"/>
      <w:lvlJc w:val="left"/>
      <w:pPr>
        <w:ind w:left="0" w:firstLine="0"/>
      </w:pPr>
      <w:rPr>
        <w:rFonts w:hint="eastAsia" w:ascii="宋体" w:eastAsia="宋体"/>
        <w:b/>
        <w:i w:val="0"/>
        <w:sz w:val="28"/>
        <w:szCs w:val="28"/>
      </w:rPr>
    </w:lvl>
    <w:lvl w:ilvl="7" w:tentative="0">
      <w:start w:val="1"/>
      <w:numFmt w:val="decimal"/>
      <w:pStyle w:val="30"/>
      <w:isLgl/>
      <w:suff w:val="space"/>
      <w:lvlText w:val="%1.%2.%3.%4.%5.%6.%7.%8"/>
      <w:lvlJc w:val="left"/>
      <w:pPr>
        <w:ind w:left="0" w:firstLine="0"/>
      </w:pPr>
      <w:rPr>
        <w:rFonts w:hint="eastAsia" w:ascii="宋体" w:eastAsia="宋体"/>
        <w:b/>
        <w:i w:val="0"/>
        <w:sz w:val="28"/>
        <w:szCs w:val="28"/>
      </w:rPr>
    </w:lvl>
    <w:lvl w:ilvl="8" w:tentative="0">
      <w:start w:val="1"/>
      <w:numFmt w:val="decimal"/>
      <w:isLgl/>
      <w:suff w:val="space"/>
      <w:lvlText w:val="%1.%2.%3.%4.%5.%6.%7.%8.%9"/>
      <w:lvlJc w:val="left"/>
      <w:pPr>
        <w:ind w:left="0" w:firstLine="0"/>
      </w:pPr>
      <w:rPr>
        <w:rFonts w:hint="eastAsia" w:ascii="宋体" w:eastAsia="宋体"/>
        <w:b/>
        <w:i w:val="0"/>
        <w:sz w:val="28"/>
        <w:szCs w:val="28"/>
      </w:rPr>
    </w:lvl>
  </w:abstractNum>
  <w:abstractNum w:abstractNumId="4">
    <w:nsid w:val="63B5D249"/>
    <w:multiLevelType w:val="singleLevel"/>
    <w:tmpl w:val="63B5D249"/>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iM2NmYmUzNzIxZDUyZjU3ODJhOTMwYTYwN2FiNzUifQ=="/>
  </w:docVars>
  <w:rsids>
    <w:rsidRoot w:val="00B6142C"/>
    <w:rsid w:val="00067D92"/>
    <w:rsid w:val="000B6A12"/>
    <w:rsid w:val="000C1F4D"/>
    <w:rsid w:val="001334FD"/>
    <w:rsid w:val="0013363A"/>
    <w:rsid w:val="00185499"/>
    <w:rsid w:val="0019194A"/>
    <w:rsid w:val="002753F9"/>
    <w:rsid w:val="002B16DA"/>
    <w:rsid w:val="002E51DF"/>
    <w:rsid w:val="002F7910"/>
    <w:rsid w:val="00447D24"/>
    <w:rsid w:val="00490355"/>
    <w:rsid w:val="0051072E"/>
    <w:rsid w:val="00521E98"/>
    <w:rsid w:val="005A59C2"/>
    <w:rsid w:val="005B4BBD"/>
    <w:rsid w:val="005F52B1"/>
    <w:rsid w:val="00602152"/>
    <w:rsid w:val="006C4DDE"/>
    <w:rsid w:val="006C53BF"/>
    <w:rsid w:val="00702859"/>
    <w:rsid w:val="0070463C"/>
    <w:rsid w:val="00716B78"/>
    <w:rsid w:val="008B442F"/>
    <w:rsid w:val="009451C6"/>
    <w:rsid w:val="009A2FF8"/>
    <w:rsid w:val="009C5740"/>
    <w:rsid w:val="009F523B"/>
    <w:rsid w:val="00A41BA7"/>
    <w:rsid w:val="00A47EA4"/>
    <w:rsid w:val="00AC68A8"/>
    <w:rsid w:val="00AC778A"/>
    <w:rsid w:val="00B131C1"/>
    <w:rsid w:val="00B449EB"/>
    <w:rsid w:val="00B6142C"/>
    <w:rsid w:val="00BD331F"/>
    <w:rsid w:val="00C832EE"/>
    <w:rsid w:val="00CA7011"/>
    <w:rsid w:val="00D970A2"/>
    <w:rsid w:val="00DD15FB"/>
    <w:rsid w:val="00DD355E"/>
    <w:rsid w:val="00E01EE6"/>
    <w:rsid w:val="00E56EC4"/>
    <w:rsid w:val="00F33687"/>
    <w:rsid w:val="00F635BD"/>
    <w:rsid w:val="00F90DC2"/>
    <w:rsid w:val="00F975C6"/>
    <w:rsid w:val="00FE610C"/>
    <w:rsid w:val="0F696B20"/>
    <w:rsid w:val="10B8316C"/>
    <w:rsid w:val="120D40DA"/>
    <w:rsid w:val="1248249F"/>
    <w:rsid w:val="186B66AB"/>
    <w:rsid w:val="21671F58"/>
    <w:rsid w:val="22401962"/>
    <w:rsid w:val="23DF0324"/>
    <w:rsid w:val="24A21970"/>
    <w:rsid w:val="364A2534"/>
    <w:rsid w:val="36C22E36"/>
    <w:rsid w:val="371C3FA7"/>
    <w:rsid w:val="381D796B"/>
    <w:rsid w:val="3A241712"/>
    <w:rsid w:val="46641881"/>
    <w:rsid w:val="4AA31452"/>
    <w:rsid w:val="4C172E84"/>
    <w:rsid w:val="4CC6683A"/>
    <w:rsid w:val="4EB62A56"/>
    <w:rsid w:val="53436D0E"/>
    <w:rsid w:val="54D2203E"/>
    <w:rsid w:val="557E5D22"/>
    <w:rsid w:val="55CA78A8"/>
    <w:rsid w:val="59D806A7"/>
    <w:rsid w:val="5C1150D9"/>
    <w:rsid w:val="5C9F4C9C"/>
    <w:rsid w:val="6BA83A30"/>
    <w:rsid w:val="6D0B1D5B"/>
    <w:rsid w:val="6D7D60B4"/>
    <w:rsid w:val="73F2195D"/>
    <w:rsid w:val="778808C2"/>
    <w:rsid w:val="7A5B5D4E"/>
    <w:rsid w:val="7CE97977"/>
    <w:rsid w:val="7F44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pPr>
    <w:rPr>
      <w:rFonts w:ascii="宋体" w:hAnsi="宋体" w:eastAsia="宋体" w:cs="宋体"/>
      <w:sz w:val="24"/>
      <w:szCs w:val="22"/>
      <w:lang w:val="en-US" w:eastAsia="zh-CN" w:bidi="ar-SA"/>
    </w:rPr>
  </w:style>
  <w:style w:type="paragraph" w:styleId="2">
    <w:name w:val="heading 1"/>
    <w:basedOn w:val="1"/>
    <w:next w:val="1"/>
    <w:link w:val="19"/>
    <w:qFormat/>
    <w:uiPriority w:val="9"/>
    <w:pPr>
      <w:keepNext/>
      <w:keepLines/>
      <w:numPr>
        <w:ilvl w:val="0"/>
        <w:numId w:val="1"/>
      </w:numPr>
      <w:ind w:firstLineChars="0"/>
      <w:outlineLvl w:val="0"/>
    </w:pPr>
    <w:rPr>
      <w:rFonts w:cstheme="majorBidi"/>
      <w:b/>
      <w:color w:val="000000" w:themeColor="text1"/>
      <w:sz w:val="28"/>
      <w:szCs w:val="48"/>
      <w14:textFill>
        <w14:solidFill>
          <w14:schemeClr w14:val="tx1"/>
        </w14:solidFill>
      </w14:textFill>
    </w:rPr>
  </w:style>
  <w:style w:type="paragraph" w:styleId="3">
    <w:name w:val="heading 2"/>
    <w:basedOn w:val="1"/>
    <w:next w:val="1"/>
    <w:link w:val="20"/>
    <w:autoRedefine/>
    <w:unhideWhenUsed/>
    <w:qFormat/>
    <w:uiPriority w:val="9"/>
    <w:pPr>
      <w:keepNext/>
      <w:keepLines/>
      <w:numPr>
        <w:ilvl w:val="1"/>
        <w:numId w:val="1"/>
      </w:numPr>
      <w:ind w:firstLineChars="0"/>
      <w:outlineLvl w:val="1"/>
    </w:pPr>
    <w:rPr>
      <w:rFonts w:cstheme="majorBidi"/>
      <w:b/>
      <w:color w:val="000000" w:themeColor="text1"/>
      <w:sz w:val="28"/>
      <w:szCs w:val="40"/>
      <w14:textFill>
        <w14:solidFill>
          <w14:schemeClr w14:val="tx1"/>
        </w14:solidFill>
      </w14:textFill>
    </w:rPr>
  </w:style>
  <w:style w:type="paragraph" w:styleId="4">
    <w:name w:val="heading 3"/>
    <w:basedOn w:val="1"/>
    <w:next w:val="1"/>
    <w:link w:val="21"/>
    <w:unhideWhenUsed/>
    <w:qFormat/>
    <w:uiPriority w:val="9"/>
    <w:pPr>
      <w:keepNext/>
      <w:keepLines/>
      <w:numPr>
        <w:ilvl w:val="2"/>
        <w:numId w:val="1"/>
      </w:numPr>
      <w:ind w:firstLine="0" w:firstLineChars="0"/>
      <w:outlineLvl w:val="2"/>
    </w:pPr>
    <w:rPr>
      <w:rFonts w:cstheme="majorBidi"/>
      <w:b/>
      <w:color w:val="000000" w:themeColor="text1"/>
      <w:sz w:val="28"/>
      <w:szCs w:val="32"/>
      <w14:textFill>
        <w14:solidFill>
          <w14:schemeClr w14:val="tx1"/>
        </w14:solidFill>
      </w14:textFill>
    </w:rPr>
  </w:style>
  <w:style w:type="paragraph" w:styleId="5">
    <w:name w:val="heading 4"/>
    <w:basedOn w:val="1"/>
    <w:next w:val="1"/>
    <w:link w:val="22"/>
    <w:semiHidden/>
    <w:unhideWhenUsed/>
    <w:qFormat/>
    <w:uiPriority w:val="9"/>
    <w:pPr>
      <w:keepNext/>
      <w:keepLines/>
      <w:numPr>
        <w:ilvl w:val="3"/>
        <w:numId w:val="1"/>
      </w:numPr>
      <w:spacing w:before="80" w:after="40"/>
      <w:ind w:firstLine="0" w:firstLineChars="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numPr>
        <w:ilvl w:val="4"/>
        <w:numId w:val="1"/>
      </w:numPr>
      <w:spacing w:before="80" w:after="40"/>
      <w:ind w:firstLine="0" w:firstLineChars="0"/>
      <w:outlineLvl w:val="4"/>
    </w:pPr>
    <w:rPr>
      <w:rFonts w:cstheme="majorBidi"/>
      <w:color w:val="2F5597" w:themeColor="accent1" w:themeShade="BF"/>
    </w:rPr>
  </w:style>
  <w:style w:type="paragraph" w:styleId="7">
    <w:name w:val="heading 6"/>
    <w:basedOn w:val="1"/>
    <w:next w:val="1"/>
    <w:link w:val="24"/>
    <w:autoRedefine/>
    <w:semiHidden/>
    <w:unhideWhenUsed/>
    <w:qFormat/>
    <w:uiPriority w:val="9"/>
    <w:pPr>
      <w:keepNext/>
      <w:keepLines/>
      <w:numPr>
        <w:ilvl w:val="5"/>
        <w:numId w:val="1"/>
      </w:numPr>
      <w:spacing w:before="40"/>
      <w:ind w:firstLine="0" w:firstLineChars="0"/>
      <w:outlineLvl w:val="5"/>
    </w:pPr>
    <w:rPr>
      <w:rFonts w:cstheme="majorBidi"/>
      <w:b/>
      <w:bCs/>
      <w:color w:val="2F5597" w:themeColor="accent1" w:themeShade="BF"/>
    </w:rPr>
  </w:style>
  <w:style w:type="paragraph" w:styleId="8">
    <w:name w:val="heading 7"/>
    <w:basedOn w:val="1"/>
    <w:next w:val="1"/>
    <w:link w:val="25"/>
    <w:autoRedefine/>
    <w:semiHidden/>
    <w:unhideWhenUsed/>
    <w:qFormat/>
    <w:uiPriority w:val="9"/>
    <w:pPr>
      <w:keepNext/>
      <w:keepLines/>
      <w:numPr>
        <w:ilvl w:val="6"/>
        <w:numId w:val="1"/>
      </w:numPr>
      <w:spacing w:before="40"/>
      <w:ind w:firstLine="0" w:firstLineChars="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autoRedefine/>
    <w:semiHidden/>
    <w:unhideWhenUsed/>
    <w:qFormat/>
    <w:uiPriority w:val="9"/>
    <w:pPr>
      <w:keepNext/>
      <w:keepLines/>
      <w:numPr>
        <w:ilvl w:val="7"/>
        <w:numId w:val="1"/>
      </w:numPr>
      <w:ind w:firstLine="0" w:firstLineChars="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autoRedefine/>
    <w:semiHidden/>
    <w:unhideWhenUsed/>
    <w:qFormat/>
    <w:uiPriority w:val="9"/>
    <w:pPr>
      <w:keepNext/>
      <w:keepLines/>
      <w:numPr>
        <w:ilvl w:val="8"/>
        <w:numId w:val="1"/>
      </w:numPr>
      <w:ind w:firstLine="0" w:firstLineChars="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semiHidden/>
    <w:unhideWhenUsed/>
    <w:qFormat/>
    <w:uiPriority w:val="99"/>
  </w:style>
  <w:style w:type="paragraph" w:styleId="12">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8"/>
    <w:autoRedefine/>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9"/>
    <w:autoRedefine/>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autoRedefine/>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autoRedefine/>
    <w:qFormat/>
    <w:uiPriority w:val="39"/>
    <w:pPr>
      <w:spacing w:line="360" w:lineRule="auto"/>
    </w:pPr>
    <w:rPr>
      <w:rFonts w:ascii="宋体" w:hAnsi="宋体" w:cs="宋体"/>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autoRedefine/>
    <w:qFormat/>
    <w:uiPriority w:val="9"/>
    <w:rPr>
      <w:rFonts w:ascii="宋体" w:hAnsi="宋体" w:eastAsia="宋体" w:cstheme="majorBidi"/>
      <w:b/>
      <w:color w:val="000000" w:themeColor="text1"/>
      <w:sz w:val="28"/>
      <w:szCs w:val="48"/>
      <w14:textFill>
        <w14:solidFill>
          <w14:schemeClr w14:val="tx1"/>
        </w14:solidFill>
      </w14:textFill>
    </w:rPr>
  </w:style>
  <w:style w:type="character" w:customStyle="1" w:styleId="20">
    <w:name w:val="标题 2 字符"/>
    <w:basedOn w:val="18"/>
    <w:link w:val="3"/>
    <w:autoRedefine/>
    <w:semiHidden/>
    <w:qFormat/>
    <w:uiPriority w:val="9"/>
    <w:rPr>
      <w:rFonts w:ascii="宋体" w:hAnsi="宋体" w:eastAsia="宋体" w:cstheme="majorBidi"/>
      <w:b/>
      <w:color w:val="000000" w:themeColor="text1"/>
      <w:sz w:val="28"/>
      <w:szCs w:val="40"/>
      <w14:textFill>
        <w14:solidFill>
          <w14:schemeClr w14:val="tx1"/>
        </w14:solidFill>
      </w14:textFill>
    </w:rPr>
  </w:style>
  <w:style w:type="character" w:customStyle="1" w:styleId="21">
    <w:name w:val="标题 3 字符"/>
    <w:basedOn w:val="18"/>
    <w:link w:val="4"/>
    <w:autoRedefine/>
    <w:semiHidden/>
    <w:qFormat/>
    <w:uiPriority w:val="9"/>
    <w:rPr>
      <w:rFonts w:ascii="宋体" w:hAnsi="宋体" w:eastAsia="宋体" w:cstheme="majorBidi"/>
      <w:b/>
      <w:color w:val="000000" w:themeColor="text1"/>
      <w:sz w:val="28"/>
      <w:szCs w:val="32"/>
      <w14:textFill>
        <w14:solidFill>
          <w14:schemeClr w14:val="tx1"/>
        </w14:solidFill>
      </w14:textFill>
    </w:rPr>
  </w:style>
  <w:style w:type="character" w:customStyle="1" w:styleId="22">
    <w:name w:val="标题 4 字符"/>
    <w:basedOn w:val="18"/>
    <w:link w:val="5"/>
    <w:autoRedefine/>
    <w:semiHidden/>
    <w:qFormat/>
    <w:uiPriority w:val="9"/>
    <w:rPr>
      <w:rFonts w:cstheme="majorBidi"/>
      <w:color w:val="2F5597" w:themeColor="accent1" w:themeShade="BF"/>
      <w:sz w:val="28"/>
      <w:szCs w:val="28"/>
    </w:rPr>
  </w:style>
  <w:style w:type="character" w:customStyle="1" w:styleId="23">
    <w:name w:val="标题 5 字符"/>
    <w:basedOn w:val="18"/>
    <w:link w:val="6"/>
    <w:autoRedefine/>
    <w:semiHidden/>
    <w:qFormat/>
    <w:uiPriority w:val="9"/>
    <w:rPr>
      <w:rFonts w:cstheme="majorBidi"/>
      <w:color w:val="2F5597" w:themeColor="accent1" w:themeShade="BF"/>
      <w:sz w:val="24"/>
    </w:rPr>
  </w:style>
  <w:style w:type="character" w:customStyle="1" w:styleId="24">
    <w:name w:val="标题 6 字符"/>
    <w:basedOn w:val="18"/>
    <w:link w:val="7"/>
    <w:autoRedefine/>
    <w:semiHidden/>
    <w:qFormat/>
    <w:uiPriority w:val="9"/>
    <w:rPr>
      <w:rFonts w:cstheme="majorBidi"/>
      <w:b/>
      <w:bCs/>
      <w:color w:val="2F5597" w:themeColor="accent1" w:themeShade="BF"/>
    </w:rPr>
  </w:style>
  <w:style w:type="character" w:customStyle="1" w:styleId="25">
    <w:name w:val="标题 7 字符"/>
    <w:basedOn w:val="18"/>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autoRedefine/>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30">
    <w:name w:val="八级标题"/>
    <w:basedOn w:val="9"/>
    <w:next w:val="1"/>
    <w:autoRedefine/>
    <w:qFormat/>
    <w:uiPriority w:val="0"/>
    <w:pPr>
      <w:numPr>
        <w:numId w:val="2"/>
      </w:numPr>
      <w:tabs>
        <w:tab w:val="left" w:pos="360"/>
      </w:tabs>
    </w:pPr>
    <w:rPr>
      <w:b/>
      <w:bCs/>
      <w:color w:val="000000"/>
      <w:sz w:val="28"/>
      <w:szCs w:val="32"/>
      <w14:textFill>
        <w14:solidFill>
          <w14:srgbClr w14:val="000000">
            <w14:lumMod w14:val="65000"/>
            <w14:lumOff w14:val="35000"/>
          </w14:srgbClr>
        </w14:solidFill>
      </w14:textFill>
    </w:rPr>
  </w:style>
  <w:style w:type="paragraph" w:customStyle="1" w:styleId="31">
    <w:name w:val="二级标题"/>
    <w:basedOn w:val="3"/>
    <w:next w:val="1"/>
    <w:autoRedefine/>
    <w:qFormat/>
    <w:uiPriority w:val="0"/>
    <w:pPr>
      <w:numPr>
        <w:numId w:val="2"/>
      </w:numPr>
      <w:tabs>
        <w:tab w:val="left" w:pos="360"/>
      </w:tabs>
    </w:pPr>
    <w:rPr>
      <w:bCs/>
      <w:color w:val="auto"/>
      <w:szCs w:val="32"/>
    </w:rPr>
  </w:style>
  <w:style w:type="paragraph" w:customStyle="1" w:styleId="32">
    <w:name w:val="六级标题"/>
    <w:basedOn w:val="7"/>
    <w:next w:val="1"/>
    <w:autoRedefine/>
    <w:qFormat/>
    <w:uiPriority w:val="0"/>
    <w:pPr>
      <w:numPr>
        <w:numId w:val="2"/>
      </w:numPr>
      <w:tabs>
        <w:tab w:val="left" w:pos="360"/>
      </w:tabs>
      <w:spacing w:before="0"/>
    </w:pPr>
    <w:rPr>
      <w:color w:val="auto"/>
      <w:sz w:val="28"/>
      <w:szCs w:val="32"/>
    </w:rPr>
  </w:style>
  <w:style w:type="paragraph" w:customStyle="1" w:styleId="33">
    <w:name w:val="七级标题"/>
    <w:basedOn w:val="8"/>
    <w:next w:val="1"/>
    <w:autoRedefine/>
    <w:qFormat/>
    <w:uiPriority w:val="0"/>
    <w:pPr>
      <w:numPr>
        <w:numId w:val="2"/>
      </w:numPr>
      <w:tabs>
        <w:tab w:val="left" w:pos="360"/>
      </w:tabs>
      <w:spacing w:before="0"/>
    </w:pPr>
    <w:rPr>
      <w:rFonts w:cs="宋体"/>
      <w:color w:val="000000"/>
      <w:sz w:val="28"/>
      <w:szCs w:val="32"/>
      <w14:textFill>
        <w14:solidFill>
          <w14:srgbClr w14:val="000000">
            <w14:lumMod w14:val="65000"/>
            <w14:lumOff w14:val="35000"/>
          </w14:srgbClr>
        </w14:solidFill>
      </w14:textFill>
    </w:rPr>
  </w:style>
  <w:style w:type="paragraph" w:customStyle="1" w:styleId="34">
    <w:name w:val="三级标题"/>
    <w:basedOn w:val="4"/>
    <w:next w:val="1"/>
    <w:autoRedefine/>
    <w:qFormat/>
    <w:uiPriority w:val="0"/>
    <w:pPr>
      <w:numPr>
        <w:numId w:val="2"/>
      </w:numPr>
    </w:pPr>
    <w:rPr>
      <w:rFonts w:cs="宋体"/>
      <w:bCs/>
      <w:color w:val="auto"/>
    </w:rPr>
  </w:style>
  <w:style w:type="paragraph" w:customStyle="1" w:styleId="35">
    <w:name w:val="四级标题"/>
    <w:basedOn w:val="5"/>
    <w:next w:val="1"/>
    <w:autoRedefine/>
    <w:qFormat/>
    <w:uiPriority w:val="0"/>
    <w:pPr>
      <w:numPr>
        <w:numId w:val="2"/>
      </w:numPr>
      <w:spacing w:before="0" w:after="0"/>
    </w:pPr>
    <w:rPr>
      <w:b/>
      <w:bCs/>
      <w:color w:val="auto"/>
      <w:szCs w:val="32"/>
    </w:rPr>
  </w:style>
  <w:style w:type="paragraph" w:customStyle="1" w:styleId="36">
    <w:name w:val="五级标题"/>
    <w:basedOn w:val="6"/>
    <w:next w:val="1"/>
    <w:autoRedefine/>
    <w:qFormat/>
    <w:uiPriority w:val="0"/>
    <w:pPr>
      <w:numPr>
        <w:numId w:val="2"/>
      </w:numPr>
      <w:tabs>
        <w:tab w:val="left" w:pos="360"/>
      </w:tabs>
      <w:spacing w:before="0" w:after="0"/>
    </w:pPr>
    <w:rPr>
      <w:rFonts w:cs="宋体"/>
      <w:b/>
      <w:bCs/>
      <w:color w:val="auto"/>
      <w:sz w:val="28"/>
      <w:szCs w:val="32"/>
    </w:rPr>
  </w:style>
  <w:style w:type="paragraph" w:customStyle="1" w:styleId="37">
    <w:name w:val="一级标题"/>
    <w:basedOn w:val="2"/>
    <w:next w:val="1"/>
    <w:autoRedefine/>
    <w:qFormat/>
    <w:uiPriority w:val="0"/>
    <w:pPr>
      <w:numPr>
        <w:numId w:val="2"/>
      </w:numPr>
      <w:tabs>
        <w:tab w:val="left" w:pos="360"/>
      </w:tabs>
    </w:pPr>
    <w:rPr>
      <w:rFonts w:cs="宋体"/>
      <w:bCs/>
      <w:color w:val="auto"/>
      <w:kern w:val="44"/>
      <w:szCs w:val="32"/>
    </w:rPr>
  </w:style>
  <w:style w:type="character" w:customStyle="1" w:styleId="38">
    <w:name w:val="页眉 字符"/>
    <w:basedOn w:val="18"/>
    <w:link w:val="13"/>
    <w:autoRedefine/>
    <w:qFormat/>
    <w:uiPriority w:val="99"/>
    <w:rPr>
      <w:rFonts w:ascii="宋体" w:hAnsi="宋体" w:eastAsia="宋体" w:cs="宋体"/>
      <w:kern w:val="0"/>
      <w:sz w:val="18"/>
      <w:szCs w:val="18"/>
      <w14:ligatures w14:val="none"/>
    </w:rPr>
  </w:style>
  <w:style w:type="character" w:customStyle="1" w:styleId="39">
    <w:name w:val="页脚 字符"/>
    <w:basedOn w:val="18"/>
    <w:link w:val="12"/>
    <w:autoRedefine/>
    <w:qFormat/>
    <w:uiPriority w:val="99"/>
    <w:rPr>
      <w:rFonts w:ascii="宋体" w:hAnsi="宋体" w:eastAsia="宋体" w:cs="宋体"/>
      <w:kern w:val="0"/>
      <w:sz w:val="18"/>
      <w:szCs w:val="18"/>
      <w14:ligatures w14:val="none"/>
    </w:rPr>
  </w:style>
  <w:style w:type="table" w:customStyle="1" w:styleId="40">
    <w:name w:val="TableGrid"/>
    <w:autoRedefine/>
    <w:qFormat/>
    <w:uiPriority w:val="0"/>
    <w:tblPr>
      <w:tblCellMar>
        <w:top w:w="0" w:type="dxa"/>
        <w:left w:w="0" w:type="dxa"/>
        <w:bottom w:w="0" w:type="dxa"/>
        <w:right w:w="0" w:type="dxa"/>
      </w:tblCellMar>
    </w:tblPr>
  </w:style>
  <w:style w:type="character" w:customStyle="1" w:styleId="41">
    <w:name w:val="font51"/>
    <w:basedOn w:val="18"/>
    <w:autoRedefine/>
    <w:qFormat/>
    <w:uiPriority w:val="0"/>
    <w:rPr>
      <w:rFonts w:hint="eastAsia" w:ascii="宋体" w:hAnsi="宋体" w:eastAsia="宋体" w:cs="宋体"/>
      <w:color w:val="000000"/>
      <w:sz w:val="24"/>
      <w:szCs w:val="24"/>
      <w:u w:val="none"/>
    </w:rPr>
  </w:style>
  <w:style w:type="character" w:customStyle="1" w:styleId="42">
    <w:name w:val="font61"/>
    <w:basedOn w:val="18"/>
    <w:autoRedefine/>
    <w:qFormat/>
    <w:uiPriority w:val="0"/>
    <w:rPr>
      <w:rFonts w:hint="eastAsia" w:ascii="宋体" w:hAnsi="宋体" w:eastAsia="宋体" w:cs="宋体"/>
      <w:color w:val="000000"/>
      <w:sz w:val="18"/>
      <w:szCs w:val="18"/>
      <w:u w:val="none"/>
    </w:rPr>
  </w:style>
  <w:style w:type="paragraph" w:styleId="43">
    <w:name w:val="No Spacing"/>
    <w:autoRedefine/>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1912</Words>
  <Characters>2013</Characters>
  <Lines>88</Lines>
  <Paragraphs>24</Paragraphs>
  <TotalTime>156</TotalTime>
  <ScaleCrop>false</ScaleCrop>
  <LinksUpToDate>false</LinksUpToDate>
  <CharactersWithSpaces>2015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2025-07-09T01:01:00Z</dcterms:created>
  <dc:creator>zheng long</dc:creator>
  <cp:lastModifiedBy>云</cp:lastModifiedBy>
  <cp:lastPrinted>2025-09-22T03:28:00Z</cp:lastPrinted>
  <dcterms:modified xsi:type="dcterms:W3CDTF">2025-10-17T06:53:43Z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eyJoZGlkIjoiMTVmNjI4YzdlY2E2MDg5OTU4OTNjMjFjYzljZmY1MzEiLCJ1c2VySWQiOiIzODYwNTk3NDcifQ==</vt:lpwstr>
  </property>
  <property fmtid="{D5CDD505-2E9C-101B-9397-08002B2CF9AE}" pid="3" name="KSOProductBuildVer">
    <vt:lpwstr>2052-12.1.0.23125</vt:lpwstr>
  </property>
  <property fmtid="{D5CDD505-2E9C-101B-9397-08002B2CF9AE}" pid="4" name="ICV">
    <vt:lpwstr>420A3AFA4ACB436180AFB7E97F7559C6_13</vt:lpwstr>
  </property>
</Properties>
</file>